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58E5A">
      <w:pPr>
        <w:spacing w:line="660" w:lineRule="exact"/>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附件2</w:t>
      </w:r>
    </w:p>
    <w:p w14:paraId="25C1BB76">
      <w:pPr>
        <w:spacing w:line="660" w:lineRule="exact"/>
        <w:ind w:left="0" w:leftChars="0" w:firstLine="0" w:firstLineChars="0"/>
        <w:jc w:val="left"/>
        <w:rPr>
          <w:rFonts w:hint="eastAsia" w:ascii="方正小标宋_GBK" w:hAnsi="方正小标宋_GBK" w:eastAsia="方正小标宋_GBK" w:cs="方正小标宋_GBK"/>
          <w:kern w:val="2"/>
          <w:sz w:val="44"/>
          <w:szCs w:val="44"/>
          <w:lang w:val="en-US" w:eastAsia="zh-CN" w:bidi="ar-SA"/>
        </w:rPr>
      </w:pPr>
    </w:p>
    <w:p w14:paraId="013F005C">
      <w:pPr>
        <w:spacing w:line="660" w:lineRule="exact"/>
        <w:ind w:left="0" w:leftChars="0" w:firstLine="0" w:firstLineChars="0"/>
        <w:jc w:val="center"/>
        <w:rPr>
          <w:rFonts w:hint="eastAsia" w:ascii="方正小标宋_GBK" w:hAnsi="方正小标宋_GBK" w:eastAsia="方正小标宋_GBK" w:cs="方正小标宋_GBK"/>
          <w:kern w:val="2"/>
          <w:sz w:val="44"/>
          <w:szCs w:val="44"/>
          <w:lang w:val="en-US" w:eastAsia="zh-CN" w:bidi="ar-SA"/>
        </w:rPr>
      </w:pPr>
      <w:bookmarkStart w:id="2" w:name="_GoBack"/>
      <w:r>
        <w:rPr>
          <w:rFonts w:hint="eastAsia" w:ascii="方正小标宋_GBK" w:hAnsi="方正小标宋_GBK" w:eastAsia="方正小标宋_GBK" w:cs="方正小标宋_GBK"/>
          <w:kern w:val="2"/>
          <w:sz w:val="44"/>
          <w:szCs w:val="44"/>
          <w:lang w:val="en-US" w:eastAsia="zh-CN" w:bidi="ar-SA"/>
        </w:rPr>
        <w:t>竞赛内容大纲</w:t>
      </w:r>
      <w:bookmarkEnd w:id="2"/>
    </w:p>
    <w:p w14:paraId="41A59B62">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color w:val="000000"/>
          <w:kern w:val="2"/>
          <w:sz w:val="36"/>
          <w:szCs w:val="28"/>
          <w:lang w:val="en-US" w:eastAsia="zh-CN" w:bidi="ar-SA"/>
        </w:rPr>
      </w:pPr>
    </w:p>
    <w:p w14:paraId="40CDC1BF">
      <w:pPr>
        <w:widowControl w:val="0"/>
        <w:kinsoku/>
        <w:autoSpaceDE/>
        <w:autoSpaceDN/>
        <w:adjustRightInd/>
        <w:snapToGrid/>
        <w:spacing w:line="660" w:lineRule="exact"/>
        <w:ind w:left="0" w:leftChars="0" w:firstLine="0" w:firstLineChars="0"/>
        <w:jc w:val="center"/>
        <w:textAlignment w:val="auto"/>
        <w:rPr>
          <w:rFonts w:hint="eastAsia" w:ascii="方正小标宋_GBK" w:hAnsi="方正小标宋_GBK" w:eastAsia="方正小标宋_GBK" w:cs="方正小标宋_GBK"/>
          <w:snapToGrid/>
          <w:color w:val="000000"/>
          <w:kern w:val="2"/>
          <w:sz w:val="36"/>
          <w:szCs w:val="28"/>
          <w:lang w:val="en-US" w:eastAsia="zh-CN" w:bidi="ar-SA"/>
        </w:rPr>
      </w:pPr>
      <w:r>
        <w:rPr>
          <w:rFonts w:hint="eastAsia" w:ascii="方正小标宋_GBK" w:hAnsi="方正小标宋_GBK" w:eastAsia="方正小标宋_GBK" w:cs="方正小标宋_GBK"/>
          <w:snapToGrid/>
          <w:color w:val="000000"/>
          <w:kern w:val="2"/>
          <w:sz w:val="36"/>
          <w:szCs w:val="28"/>
          <w:lang w:val="en-US" w:eastAsia="zh-CN" w:bidi="ar-SA"/>
        </w:rPr>
        <w:t>人工智能竞赛专业</w:t>
      </w:r>
    </w:p>
    <w:p w14:paraId="15F44ED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国标楷体" w:hAnsi="国标楷体" w:eastAsia="国标楷体" w:cs="国标楷体"/>
          <w:b w:val="0"/>
          <w:bCs w:val="0"/>
          <w:kern w:val="2"/>
          <w:sz w:val="32"/>
          <w:szCs w:val="24"/>
          <w:lang w:val="en-US" w:eastAsia="zh-CN" w:bidi="ar-SA"/>
        </w:rPr>
      </w:pPr>
    </w:p>
    <w:p w14:paraId="133D636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说明：(1) 本专业竞赛分为理论和实操两大部分。</w:t>
      </w:r>
    </w:p>
    <w:p w14:paraId="72F3858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(2) 理论部分包括基础考核和专业考核。基础考核对应大纲中的基础理论和专业知识；专业考核对应大纲中的专业技能和广电垂类AI应用。</w:t>
      </w:r>
    </w:p>
    <w:p w14:paraId="46D338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(3) 实操部分重点考核参赛选手运用智能体、大模型快速解决具体问题的能力，考核选手综合运用行业知识和智能体、大模型工具提升工作质效、解决实际问题的能力，不以算法研发和程序开发为导向。</w:t>
      </w:r>
    </w:p>
    <w:p w14:paraId="47B45FC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(4) 选手可结合人工智能通识、大模型应用、AIGC影视创作、广电视听行业人工智能应用、网络安全与数据安全等教材、技术资料和典型案例开展学习。推荐参考《人工智能通识：新技术与创新实践》《人工智能应用通识教程》《大模型十讲》《人工智能时代视听产业新格局》《AIGC影视创作教程》等资料。</w:t>
      </w:r>
    </w:p>
    <w:p w14:paraId="3785741E">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eastAsia="zh-CN"/>
        </w:rPr>
      </w:pPr>
      <w:r>
        <w:rPr>
          <w:rFonts w:hint="eastAsia" w:ascii="仿宋_GB2312" w:hAnsi="仿宋_GB2312" w:eastAsia="仿宋_GB2312" w:cs="仿宋_GB2312"/>
          <w:b/>
          <w:bCs/>
          <w:sz w:val="32"/>
        </w:rPr>
        <w:t>1.</w:t>
      </w:r>
      <w:r>
        <w:rPr>
          <w:rFonts w:hint="eastAsia" w:ascii="仿宋_GB2312" w:hAnsi="仿宋_GB2312" w:eastAsia="仿宋_GB2312" w:cs="仿宋_GB2312"/>
          <w:b/>
          <w:bCs/>
          <w:sz w:val="32"/>
          <w:lang w:val="en-US" w:eastAsia="zh-CN"/>
        </w:rPr>
        <w:t xml:space="preserve"> </w:t>
      </w:r>
      <w:r>
        <w:rPr>
          <w:rFonts w:hint="eastAsia" w:ascii="仿宋_GB2312" w:hAnsi="仿宋_GB2312" w:eastAsia="仿宋_GB2312" w:cs="仿宋_GB2312"/>
          <w:b/>
          <w:bCs/>
          <w:sz w:val="32"/>
          <w:lang w:eastAsia="zh-CN"/>
        </w:rPr>
        <w:t>基础理论</w:t>
      </w:r>
    </w:p>
    <w:p w14:paraId="6C98915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1.1</w:t>
      </w:r>
      <w:r>
        <w:rPr>
          <w:rFonts w:hint="eastAsia" w:ascii="仿宋_GB2312" w:hAnsi="仿宋_GB2312" w:eastAsia="仿宋_GB2312" w:cs="仿宋_GB2312"/>
          <w:sz w:val="32"/>
          <w:lang w:val="en-US" w:eastAsia="zh-CN"/>
        </w:rPr>
        <w:t xml:space="preserve"> 人工智能基础</w:t>
      </w:r>
    </w:p>
    <w:p w14:paraId="6FD9C39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人工智能基本概念：人工智能、机器学习、深度学习、神经网络、生成式人工智能、判别式人工智能</w:t>
      </w:r>
    </w:p>
    <w:p w14:paraId="7F76FD7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大模型基本概念：参数规模、预训练、监督微调、对齐训练、推理</w:t>
      </w:r>
    </w:p>
    <w:p w14:paraId="35BAD24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多模态人工智能基本概念：文本、图像、音频、视频、跨模态理解与生成</w:t>
      </w:r>
    </w:p>
    <w:p w14:paraId="4E6B524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人工智能系统基本组成：算法、数据、算力、工具链、应用场景</w:t>
      </w:r>
    </w:p>
    <w:p w14:paraId="0D0DF14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人工智能常用评价指标：准确率、精确率、召回率、F1值、鲁棒性、一致性、幻觉、可解释性</w:t>
      </w:r>
    </w:p>
    <w:p w14:paraId="2989ABD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人工智能典型应用形态：智能问答、知识检索、智能体、内容生成、辅助决策</w:t>
      </w:r>
    </w:p>
    <w:p w14:paraId="7F30F0F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(7)人工智能应用中的基本风险：错误输出、事实幻觉、偏见歧视、隐私泄露、安全失控、责任边界不清</w:t>
      </w:r>
    </w:p>
    <w:p w14:paraId="0F5B27E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2 大模型基础</w:t>
      </w:r>
    </w:p>
    <w:p w14:paraId="492C95D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Transformer架构基本原理</w:t>
      </w:r>
    </w:p>
    <w:p w14:paraId="569F799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注意力机制、位置编码等基本概念</w:t>
      </w:r>
    </w:p>
    <w:p w14:paraId="18FA04E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大模型训练的一般过程：预训练、指令微调、偏好对齐</w:t>
      </w:r>
    </w:p>
    <w:p w14:paraId="3DAE270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文本大模型、多模态大模型、视频生成模型的基本特点</w:t>
      </w:r>
    </w:p>
    <w:p w14:paraId="05A82BF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模型压缩、量化、蒸馏、轻量化部署等基本概念</w:t>
      </w:r>
    </w:p>
    <w:p w14:paraId="4AFC6DD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国产主流大模型的发展情况及典型特点</w:t>
      </w:r>
    </w:p>
    <w:p w14:paraId="5FCC067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(7)</w:t>
      </w:r>
      <w:r>
        <w:rPr>
          <w:rFonts w:hint="eastAsia" w:ascii="仿宋_GB2312" w:hAnsi="仿宋_GB2312" w:eastAsia="仿宋_GB2312" w:cs="仿宋_GB2312"/>
          <w:sz w:val="32"/>
        </w:rPr>
        <w:t>大模型推理服务、接口调用、工作流编排等基本概念</w:t>
      </w:r>
    </w:p>
    <w:p w14:paraId="62CDADA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(8)大模型能力边界：上下文长度、知识时效性、工具依赖、推理稳定性、专业知识覆盖范围</w:t>
      </w:r>
    </w:p>
    <w:p w14:paraId="5846312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1.3 数据与系统工程基础</w:t>
      </w:r>
    </w:p>
    <w:p w14:paraId="4D4A2B9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(1)数据采集、标注、清洗、质检、分级分类等基本概念</w:t>
      </w:r>
    </w:p>
    <w:p w14:paraId="396563A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(2)训练数据、验证数据、测试数据的作用与区别</w:t>
      </w:r>
    </w:p>
    <w:p w14:paraId="7CD5A73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(3)向量数据库、知识库、RAG的基本原理</w:t>
      </w:r>
    </w:p>
    <w:p w14:paraId="4454FCA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(4)API、SDK、模型服务、中间件、工作流平台等基本概念</w:t>
      </w:r>
    </w:p>
    <w:p w14:paraId="0162DD8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(5)本地部署、私有化部署、云端调用、边缘部署等部署方式</w:t>
      </w:r>
    </w:p>
    <w:p w14:paraId="09641D8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(6)计算资源基本概念：CPU、GPU、NPU、显存、吞吐量、并发量、时延</w:t>
      </w:r>
    </w:p>
    <w:p w14:paraId="75DF5F5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(7)人工智能系统的一般工程架构与运维要求</w:t>
      </w:r>
    </w:p>
    <w:p w14:paraId="75ADE35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(8)人工智能系统接入业务系统时的数据流、权限流、日志流和责任链路</w:t>
      </w:r>
    </w:p>
    <w:p w14:paraId="2172A31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p>
    <w:p w14:paraId="075AEE3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1.4法规文件</w:t>
      </w:r>
    </w:p>
    <w:p w14:paraId="45986FB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(1)《中华人民共和国网络安全法》</w:t>
      </w:r>
    </w:p>
    <w:p w14:paraId="3D55D8F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(2)《中华人民共和国数据安全法》</w:t>
      </w:r>
    </w:p>
    <w:p w14:paraId="77597EA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(3)《中华人民共和国个人信息保护法》</w:t>
      </w:r>
    </w:p>
    <w:p w14:paraId="43B4669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(4)《关键信息基础设施安全保护条例》</w:t>
      </w:r>
    </w:p>
    <w:p w14:paraId="662FFED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(5)《网络数据安全管理条例》</w:t>
      </w:r>
    </w:p>
    <w:p w14:paraId="2116F71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(6)《生成式人工智能服务管理暂行办法》</w:t>
      </w:r>
    </w:p>
    <w:p w14:paraId="42CA258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(7)《互联网信息服务深度合成管理规定》</w:t>
      </w:r>
    </w:p>
    <w:p w14:paraId="5611192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(8)《互联网信息服务算法推荐管理规定》</w:t>
      </w:r>
    </w:p>
    <w:p w14:paraId="4B83F82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(9)《人工智能生成合成内容标识办法》</w:t>
      </w:r>
    </w:p>
    <w:p w14:paraId="784C29D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(10)《网络安全审查办法》</w:t>
      </w:r>
    </w:p>
    <w:p w14:paraId="25BB83C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(11)《人工智能安全治理框架》2.0版</w:t>
      </w:r>
    </w:p>
    <w:p w14:paraId="7CC7A1B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 xml:space="preserve">5 </w:t>
      </w:r>
      <w:r>
        <w:rPr>
          <w:rFonts w:hint="eastAsia" w:ascii="仿宋_GB2312" w:hAnsi="仿宋_GB2312" w:eastAsia="仿宋_GB2312" w:cs="仿宋_GB2312"/>
          <w:sz w:val="32"/>
          <w:lang w:eastAsia="zh-CN"/>
        </w:rPr>
        <w:t>技术标准与规范</w:t>
      </w:r>
    </w:p>
    <w:p w14:paraId="05BCB85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default" w:ascii="仿宋_GB2312" w:hAnsi="仿宋_GB2312" w:eastAsia="仿宋_GB2312" w:cs="仿宋_GB2312"/>
          <w:sz w:val="32"/>
          <w:lang w:val="en-US" w:eastAsia="zh-CN"/>
        </w:rPr>
        <w:t>要求了解人工智能、大模型、生成式人工智能服务、AIGC内容标识、算法安全、数据安全、网络安全等相关标准的基本内容、适用范围和典型应用场景。</w:t>
      </w:r>
    </w:p>
    <w:p w14:paraId="524BC25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.1 人工智能基础术语与模型评估标准</w:t>
      </w:r>
    </w:p>
    <w:p w14:paraId="451192B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《信息技术 人工智能 术语》</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41867-2022</w:t>
      </w:r>
      <w:r>
        <w:rPr>
          <w:rFonts w:hint="eastAsia" w:ascii="仿宋_GB2312" w:hAnsi="仿宋_GB2312" w:eastAsia="仿宋_GB2312" w:cs="仿宋_GB2312"/>
          <w:sz w:val="32"/>
          <w:lang w:eastAsia="zh-CN"/>
        </w:rPr>
        <w:t>）</w:t>
      </w:r>
    </w:p>
    <w:p w14:paraId="7DA03D8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《人工智能 深度学习算法评估》</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45225-2025</w:t>
      </w:r>
      <w:r>
        <w:rPr>
          <w:rFonts w:hint="eastAsia" w:ascii="仿宋_GB2312" w:hAnsi="仿宋_GB2312" w:eastAsia="仿宋_GB2312" w:cs="仿宋_GB2312"/>
          <w:sz w:val="32"/>
          <w:lang w:eastAsia="zh-CN"/>
        </w:rPr>
        <w:t>）</w:t>
      </w:r>
    </w:p>
    <w:p w14:paraId="71A5CD9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《信息安全技术 机器学习算法安全评估规范》</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42888-2023</w:t>
      </w:r>
      <w:r>
        <w:rPr>
          <w:rFonts w:hint="eastAsia" w:ascii="仿宋_GB2312" w:hAnsi="仿宋_GB2312" w:eastAsia="仿宋_GB2312" w:cs="仿宋_GB2312"/>
          <w:sz w:val="32"/>
          <w:lang w:eastAsia="zh-CN"/>
        </w:rPr>
        <w:t>）</w:t>
      </w:r>
    </w:p>
    <w:p w14:paraId="5DAA79C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.2 大模型通用要求、评测指标与服务能力评估标准</w:t>
      </w:r>
    </w:p>
    <w:p w14:paraId="5A17B8B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《人工智能 大模型 第1部分：通用要求》</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45288.1-2025</w:t>
      </w:r>
      <w:r>
        <w:rPr>
          <w:rFonts w:hint="eastAsia" w:ascii="仿宋_GB2312" w:hAnsi="仿宋_GB2312" w:eastAsia="仿宋_GB2312" w:cs="仿宋_GB2312"/>
          <w:sz w:val="32"/>
          <w:lang w:eastAsia="zh-CN"/>
        </w:rPr>
        <w:t>）</w:t>
      </w:r>
    </w:p>
    <w:p w14:paraId="28F2698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《人工智能 大模型 第2部分：评测指标与方法》</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45288.2-2025</w:t>
      </w:r>
      <w:r>
        <w:rPr>
          <w:rFonts w:hint="eastAsia" w:ascii="仿宋_GB2312" w:hAnsi="仿宋_GB2312" w:eastAsia="仿宋_GB2312" w:cs="仿宋_GB2312"/>
          <w:sz w:val="32"/>
          <w:lang w:eastAsia="zh-CN"/>
        </w:rPr>
        <w:t>）</w:t>
      </w:r>
    </w:p>
    <w:p w14:paraId="0390CE4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《人工智能 大模型 第3部分：服务能力成熟度评估》</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45288.3-2025</w:t>
      </w:r>
      <w:r>
        <w:rPr>
          <w:rFonts w:hint="eastAsia" w:ascii="仿宋_GB2312" w:hAnsi="仿宋_GB2312" w:eastAsia="仿宋_GB2312" w:cs="仿宋_GB2312"/>
          <w:sz w:val="32"/>
          <w:lang w:eastAsia="zh-CN"/>
        </w:rPr>
        <w:t>）</w:t>
      </w:r>
    </w:p>
    <w:p w14:paraId="185C67E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.3 生成式人工智能服务与训练数据安全标准</w:t>
      </w:r>
    </w:p>
    <w:p w14:paraId="3D0BE56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《网络安全技术 生成式人工智能服务安全基本要求》</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45654-2025</w:t>
      </w:r>
      <w:r>
        <w:rPr>
          <w:rFonts w:hint="eastAsia" w:ascii="仿宋_GB2312" w:hAnsi="仿宋_GB2312" w:eastAsia="仿宋_GB2312" w:cs="仿宋_GB2312"/>
          <w:sz w:val="32"/>
          <w:lang w:eastAsia="zh-CN"/>
        </w:rPr>
        <w:t>）</w:t>
      </w:r>
    </w:p>
    <w:p w14:paraId="7F6849C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《网络安全技术 生成式人工智能预训练和优化训练数据安全规范》</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45652-2025</w:t>
      </w:r>
      <w:r>
        <w:rPr>
          <w:rFonts w:hint="eastAsia" w:ascii="仿宋_GB2312" w:hAnsi="仿宋_GB2312" w:eastAsia="仿宋_GB2312" w:cs="仿宋_GB2312"/>
          <w:sz w:val="32"/>
          <w:lang w:eastAsia="zh-CN"/>
        </w:rPr>
        <w:t>）</w:t>
      </w:r>
    </w:p>
    <w:p w14:paraId="41A142E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《网络安全技术 生成式人工智能数据标注安全规范》</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45674-2025</w:t>
      </w:r>
      <w:r>
        <w:rPr>
          <w:rFonts w:hint="eastAsia" w:ascii="仿宋_GB2312" w:hAnsi="仿宋_GB2312" w:eastAsia="仿宋_GB2312" w:cs="仿宋_GB2312"/>
          <w:sz w:val="32"/>
          <w:lang w:eastAsia="zh-CN"/>
        </w:rPr>
        <w:t>）</w:t>
      </w:r>
    </w:p>
    <w:p w14:paraId="202DE56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.4 AIGC内容标识、内容溯源与鉴别相关标准</w:t>
      </w:r>
    </w:p>
    <w:p w14:paraId="4C034FD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《网络安全技术 人工智能生成合成内容标识方法》</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 45438-2025</w:t>
      </w:r>
      <w:r>
        <w:rPr>
          <w:rFonts w:hint="eastAsia" w:ascii="仿宋_GB2312" w:hAnsi="仿宋_GB2312" w:eastAsia="仿宋_GB2312" w:cs="仿宋_GB2312"/>
          <w:sz w:val="32"/>
          <w:lang w:eastAsia="zh-CN"/>
        </w:rPr>
        <w:t>）</w:t>
      </w:r>
    </w:p>
    <w:p w14:paraId="1659D2B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生成合成内容显式标识、隐式标识、元数据记录、内容溯源与结果核验相关技术要求</w:t>
      </w:r>
    </w:p>
    <w:p w14:paraId="071C55F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AIGC内容鉴别、标识查验、证据固化和结果复核相关技术要求</w:t>
      </w:r>
    </w:p>
    <w:p w14:paraId="4718C69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.5 数据安全、网络安全等级保护与风险评估相关标准</w:t>
      </w:r>
    </w:p>
    <w:p w14:paraId="257E63C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《数据安全技术 数据分类分级规则》</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43697-2024</w:t>
      </w:r>
      <w:r>
        <w:rPr>
          <w:rFonts w:hint="eastAsia" w:ascii="仿宋_GB2312" w:hAnsi="仿宋_GB2312" w:eastAsia="仿宋_GB2312" w:cs="仿宋_GB2312"/>
          <w:sz w:val="32"/>
          <w:lang w:eastAsia="zh-CN"/>
        </w:rPr>
        <w:t>）</w:t>
      </w:r>
    </w:p>
    <w:p w14:paraId="4DA5A60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《信息安全技术 网络安全等级保护基本要求》</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22239-2019</w:t>
      </w:r>
      <w:r>
        <w:rPr>
          <w:rFonts w:hint="eastAsia" w:ascii="仿宋_GB2312" w:hAnsi="仿宋_GB2312" w:eastAsia="仿宋_GB2312" w:cs="仿宋_GB2312"/>
          <w:sz w:val="32"/>
          <w:lang w:eastAsia="zh-CN"/>
        </w:rPr>
        <w:t>）</w:t>
      </w:r>
    </w:p>
    <w:p w14:paraId="0D34486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《信息安全技术 信息安全风险评估方法》</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20984-2022</w:t>
      </w:r>
      <w:r>
        <w:rPr>
          <w:rFonts w:hint="eastAsia" w:ascii="仿宋_GB2312" w:hAnsi="仿宋_GB2312" w:eastAsia="仿宋_GB2312" w:cs="仿宋_GB2312"/>
          <w:sz w:val="32"/>
          <w:lang w:eastAsia="zh-CN"/>
        </w:rPr>
        <w:t>）</w:t>
      </w:r>
    </w:p>
    <w:p w14:paraId="61C4098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《信息安全技术 关键信息基础设施安全保护要求》</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GB/T 39204-2022</w:t>
      </w:r>
      <w:r>
        <w:rPr>
          <w:rFonts w:hint="eastAsia" w:ascii="仿宋_GB2312" w:hAnsi="仿宋_GB2312" w:eastAsia="仿宋_GB2312" w:cs="仿宋_GB2312"/>
          <w:sz w:val="32"/>
          <w:lang w:eastAsia="zh-CN"/>
        </w:rPr>
        <w:t>）</w:t>
      </w:r>
    </w:p>
    <w:p w14:paraId="1CF3C87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.6 广电视听行业网络安全与安全播出相关要求</w:t>
      </w:r>
    </w:p>
    <w:p w14:paraId="74A83CF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《广播电视安全播出管理规定》及各专业实施细则相关要求</w:t>
      </w:r>
    </w:p>
    <w:p w14:paraId="5E5C626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《广播电视网络安全管理办法》相关要求</w:t>
      </w:r>
    </w:p>
    <w:p w14:paraId="39A2792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《广播电视网络安全事件应急预案》相关要求</w:t>
      </w:r>
    </w:p>
    <w:p w14:paraId="272E633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国家广播电视总局关于人工智能应用和网络视听治理的有关管理要求</w:t>
      </w:r>
    </w:p>
    <w:p w14:paraId="198237C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融媒体平台、云制播、媒资管理、网络视听平台等业务系统的网络安全与数据安全要求</w:t>
      </w:r>
    </w:p>
    <w:p w14:paraId="2FD11D3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人工智能应用接入制播、审核、媒资、运维、安全管理等系统时的安全保障要求</w:t>
      </w:r>
    </w:p>
    <w:p w14:paraId="61B52D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(7)</w:t>
      </w:r>
      <w:r>
        <w:rPr>
          <w:rFonts w:hint="eastAsia" w:ascii="仿宋_GB2312" w:hAnsi="仿宋_GB2312" w:eastAsia="仿宋_GB2312" w:cs="仿宋_GB2312"/>
          <w:sz w:val="32"/>
        </w:rPr>
        <w:t>人工智能应用在安全播出、内容审核、网络安全、数据安全等场景中的风险识别、处置和复核要求</w:t>
      </w:r>
    </w:p>
    <w:p w14:paraId="0AFAAE4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p>
    <w:p w14:paraId="327A452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2. 专业知识</w:t>
      </w:r>
    </w:p>
    <w:p w14:paraId="1BD9666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2.1 大模型应用技术</w:t>
      </w:r>
    </w:p>
    <w:p w14:paraId="33D086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(1)提示词工程基本方法：角色设定、任务分解、约束输出、结果校核</w:t>
      </w:r>
    </w:p>
    <w:p w14:paraId="075891D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(2)检索增强生成（RAG）基本原理与适用场景</w:t>
      </w:r>
    </w:p>
    <w:p w14:paraId="3AB3342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(3)智能体基本原理：任务规划、工具调用、记忆管理、多轮交互</w:t>
      </w:r>
    </w:p>
    <w:p w14:paraId="459A037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(4)智能体安全风险：自主行为失控、权限滥用、工具调用边界</w:t>
      </w:r>
    </w:p>
    <w:p w14:paraId="58D08FC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(5)模型微调与知识增强的基本方法</w:t>
      </w:r>
    </w:p>
    <w:p w14:paraId="5B92463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(6)结构化输出、表格生成、报告生成、代码辅助等应用方式</w:t>
      </w:r>
    </w:p>
    <w:p w14:paraId="01DB702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(7)模型服务调用、权限管理、日志审计等工程实现方法</w:t>
      </w:r>
    </w:p>
    <w:p w14:paraId="7A0FDD5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(8)大模型输出质量控制与结果复核机制</w:t>
      </w:r>
    </w:p>
    <w:p w14:paraId="032E28C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(9)智能体在办公、内容生产、技术运维、安全研判等场景中的规范应用要求</w:t>
      </w:r>
    </w:p>
    <w:p w14:paraId="54F80EC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(10)大模型与行业知识库、业务系统、工作流平台协同应用的基本方法</w:t>
      </w:r>
    </w:p>
    <w:p w14:paraId="6932AEC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2.2 模型安全与数据安全</w:t>
      </w:r>
    </w:p>
    <w:p w14:paraId="2561C84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(1)模型越狱、提示词注入、工具滥用、敏感信息泄露等风险</w:t>
      </w:r>
    </w:p>
    <w:p w14:paraId="7DDB78C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(2)训练数据投毒、脏数据、偏差数据和数据污染问题</w:t>
      </w:r>
    </w:p>
    <w:p w14:paraId="2F27630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(3)权限控制、沙箱隔离、日志审计、输出过滤等安全措施</w:t>
      </w:r>
    </w:p>
    <w:p w14:paraId="1FACCBE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(4)模型调用过程中的安全边界和责任边界</w:t>
      </w:r>
    </w:p>
    <w:p w14:paraId="7A23A2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(5)本地部署与联网调用模式下的风险差异</w:t>
      </w:r>
    </w:p>
    <w:p w14:paraId="74D03B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(6)人工智能应用的风险评估、测试评估和持续整改机制</w:t>
      </w:r>
    </w:p>
    <w:p w14:paraId="3736BEA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(7)数据采集、使用、传输、存储、共享、销毁过程中的安全要求</w:t>
      </w:r>
    </w:p>
    <w:p w14:paraId="5E48F2A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(8)个人信息、重要数据、敏感业务数据在人工智能应用中的保护要求</w:t>
      </w:r>
    </w:p>
    <w:p w14:paraId="42D75AC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(9)生成式人工智能服务、深度合成服务、算法推荐服务等业务场景中的合规要求</w:t>
      </w:r>
    </w:p>
    <w:p w14:paraId="3E92B0E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(10)人工智能安全治理框架在模型安全、数据安全、应用安全、内容安全中的应用</w:t>
      </w:r>
    </w:p>
    <w:p w14:paraId="28BC246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(11)网络安全、数据安全、个人信息保护、关键信息基础设施安全保护等要求在人工智能应用中的适用场景</w:t>
      </w:r>
    </w:p>
    <w:p w14:paraId="181A985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(12)生成式人工智能服务、深度合成服务、算法推荐服务在内容生成、内容分发、内容审核中的安全治理要求</w:t>
      </w:r>
    </w:p>
    <w:p w14:paraId="0FE3D6F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(13)人工智能应用涉及重要数据、个人信息、业务敏感数据、训练数据和日志数据时的合规使用要求</w:t>
      </w:r>
    </w:p>
    <w:p w14:paraId="5BA6693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(14)人工智能系统上线前安全评估、运行中监测审计、风险事件处置和整改闭环的基本要求</w:t>
      </w:r>
    </w:p>
    <w:p w14:paraId="06E4067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 广电视听行业人工智能应用</w:t>
      </w:r>
    </w:p>
    <w:p w14:paraId="66CDB79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2.3.1 内容生产</w:t>
      </w:r>
    </w:p>
    <w:p w14:paraId="7F3C9B8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(1)AI辅助脚本创作、分镜设计、画面生成的应用场景</w:t>
      </w:r>
    </w:p>
    <w:p w14:paraId="25F9140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(2)AI视频剪辑、特效制作、配音配乐的应用方式</w:t>
      </w:r>
    </w:p>
    <w:p w14:paraId="55FAB87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(3)AI虚拟数字人在节目制作中的应用</w:t>
      </w:r>
    </w:p>
    <w:p w14:paraId="39FC4C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(4)内容生产场景的安全风险与合规要求</w:t>
      </w:r>
    </w:p>
    <w:p w14:paraId="6DFE84C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2.3.2 内容审核</w:t>
      </w:r>
    </w:p>
    <w:p w14:paraId="497A2F1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(1)AI智能审核系统的应用场景与能力边界</w:t>
      </w:r>
    </w:p>
    <w:p w14:paraId="51C4B63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(2)人工审核与AI审核的协同机制</w:t>
      </w:r>
    </w:p>
    <w:p w14:paraId="5A77B26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(3)AI审核误判与漏判的风险控制</w:t>
      </w:r>
    </w:p>
    <w:p w14:paraId="1A7025E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(4)内容审核场景的负面行为边界</w:t>
      </w:r>
    </w:p>
    <w:p w14:paraId="0EB9C9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2.3.3 智能媒资</w:t>
      </w:r>
    </w:p>
    <w:p w14:paraId="413E229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(1)AI辅助媒资编目、标签提取、内容检索的应用方式</w:t>
      </w:r>
    </w:p>
    <w:p w14:paraId="4BDF8F1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(2)基于AI的版权识别与侵权检测</w:t>
      </w:r>
    </w:p>
    <w:p w14:paraId="5E16805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(3)媒资管理的数字化转型要求</w:t>
      </w:r>
    </w:p>
    <w:p w14:paraId="62827C4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2.3.4 智慧运维</w:t>
      </w:r>
    </w:p>
    <w:p w14:paraId="53CF0C7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(1)AI辅助故障诊断、异常检测、性能优化的应用方式</w:t>
      </w:r>
    </w:p>
    <w:p w14:paraId="7898D2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(2)AI在播出链路监控中的应用</w:t>
      </w:r>
    </w:p>
    <w:p w14:paraId="358644D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(3)AI在传输网络运维中的应用</w:t>
      </w:r>
    </w:p>
    <w:p w14:paraId="34D06B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(4)AI在系统自动化运维中的应用</w:t>
      </w:r>
    </w:p>
    <w:p w14:paraId="7A7EC83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(5)AI辅助日志分析、告警关联、容量预测和故障复盘的方法</w:t>
      </w:r>
    </w:p>
    <w:p w14:paraId="76FAF5F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(6)人工智能工具用于运维自动化时的安全边界和人工确认机制</w:t>
      </w:r>
    </w:p>
    <w:p w14:paraId="709EA51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2.3.5 安全管理</w:t>
      </w:r>
    </w:p>
    <w:p w14:paraId="36C3A48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(1)AI在网络安全防护中的应用</w:t>
      </w:r>
    </w:p>
    <w:p w14:paraId="5833C20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(2)AI在数据安全风险评估中的应用</w:t>
      </w:r>
    </w:p>
    <w:p w14:paraId="1BC5AD8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(3)AI在安全事件应急响应中的应用</w:t>
      </w:r>
    </w:p>
    <w:p w14:paraId="11C05DC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(4)AI应用本身的安全管控要求</w:t>
      </w:r>
    </w:p>
    <w:p w14:paraId="663CD63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(5)AI辅助漏洞排查、威胁研判、攻击溯源和安全加固的方法</w:t>
      </w:r>
    </w:p>
    <w:p w14:paraId="065C502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(6)AI安全工具的输出复核、误报处置和责任划分机制</w:t>
      </w:r>
    </w:p>
    <w:p w14:paraId="62AF2DB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2.3.6 安全播出与业务连续性保障</w:t>
      </w:r>
    </w:p>
    <w:p w14:paraId="569C717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(1)广播电视安全播出的基本要求和主要保障环节</w:t>
      </w:r>
    </w:p>
    <w:p w14:paraId="00EBE3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(2)制播系统、传输系统、分发系统、监测系统中的人工智能应用接入要求</w:t>
      </w:r>
    </w:p>
    <w:p w14:paraId="66BE210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(3)人工智能服务故障、模型异常输出、接口调用失败对播出安全的影响</w:t>
      </w:r>
    </w:p>
    <w:p w14:paraId="1E23048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(4)人工智能应用接入播出链路时的权限控制、隔离机制、人工确认和回退机制</w:t>
      </w:r>
    </w:p>
    <w:p w14:paraId="23ACC0E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(5)人工智能应用在节目制作、内容审核、播出监测、故障诊断中的风险控制</w:t>
      </w:r>
    </w:p>
    <w:p w14:paraId="62EBA2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(6)人工智能服务异常情况下的应急处置、业务降级、人工接管和恢复验证</w:t>
      </w:r>
    </w:p>
    <w:p w14:paraId="17A5284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2.3.7 行业通用要求</w:t>
      </w:r>
    </w:p>
    <w:p w14:paraId="28CDC8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(1)行业模型选型的基本原则：内容安全与合规优先、供应链自主可控、能力与场景适配</w:t>
      </w:r>
    </w:p>
    <w:p w14:paraId="15202FB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(2)适配路径选择：提示词工程、RAG、微调、智能体编排的适用场景判断原则</w:t>
      </w:r>
    </w:p>
    <w:p w14:paraId="64F5E46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(3)行业模型接入方式：API调用、本地私有化部署、统一网关接入</w:t>
      </w:r>
    </w:p>
    <w:p w14:paraId="3F3AF77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(4)行业人工智能应用的负面行为：禁止类、限制类和规范类行为边界</w:t>
      </w:r>
    </w:p>
    <w:p w14:paraId="3DD4F8A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(5)行业训练数据集建设的基本要求：数据来源合规、标注质量管控、版权保护</w:t>
      </w:r>
    </w:p>
    <w:p w14:paraId="7FFDDE6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(6)行业算力资源的基本概念：自建与租用模式、国产算力适配现状</w:t>
      </w:r>
    </w:p>
    <w:p w14:paraId="4B4006E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(7)AIGC内容标识要求：显式标识与隐式标识的技术要求、内容溯源与鉴别</w:t>
      </w:r>
    </w:p>
    <w:p w14:paraId="421AB3B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(8)行业人工智能应用的全过程管理要求：需求分析、模型选型、测试评估、上线审批、运行监测、风险整改</w:t>
      </w:r>
    </w:p>
    <w:p w14:paraId="7F0B6B7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(9)行业人工智能应用的可解释、可追溯、可复核和可问责要求</w:t>
      </w:r>
    </w:p>
    <w:p w14:paraId="5E59F81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2.4 前沿发展动态与风险案例</w:t>
      </w:r>
    </w:p>
    <w:p w14:paraId="6708A6A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(1)多模态大模型和视频生成模型发展动态</w:t>
      </w:r>
    </w:p>
    <w:p w14:paraId="49B0D1E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(2)智能体在办公、生产、运维和安全场景中的应用趋势与安全风险</w:t>
      </w:r>
    </w:p>
    <w:p w14:paraId="2D81FF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(3)人工智能在网络安全中的应用与风险</w:t>
      </w:r>
    </w:p>
    <w:p w14:paraId="5CD59C2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(4)大模型本地化部署、工具调用、自主执行等新型风险案例</w:t>
      </w:r>
    </w:p>
    <w:p w14:paraId="099DEEF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(5)广电视听行业人工智能应用安全风险案例：深度伪造换脸、AI生成虚假新闻、AI魔改经典作品、虚拟数字人违规使用、AIGC内容标识缺失等</w:t>
      </w:r>
    </w:p>
    <w:p w14:paraId="04E8151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(6)人工智能生成内容传播过程中的失真、篡改、误导、二次加工和跨平台扩散风险</w:t>
      </w:r>
    </w:p>
    <w:p w14:paraId="0A3A02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(7)典型风险案例的识别、研判、处置、复盘和整改方法</w:t>
      </w:r>
    </w:p>
    <w:p w14:paraId="24E3687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3. 专业技能</w:t>
      </w:r>
    </w:p>
    <w:p w14:paraId="6C4C7A2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3.1 大模型应用基础操作</w:t>
      </w:r>
    </w:p>
    <w:p w14:paraId="6D57832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(1)大模型交互的基本方法：提问、追问、指令约束、输出格式控制</w:t>
      </w:r>
    </w:p>
    <w:p w14:paraId="396ADC9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(2)大模型服务平台的基本使用</w:t>
      </w:r>
    </w:p>
    <w:p w14:paraId="5EA4B5D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(3)知识库构建与检索的基本操作：文档导入、切分设置、检索与引用</w:t>
      </w:r>
    </w:p>
    <w:p w14:paraId="19E9FDC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(4)日志文件、告警数据、配置文件等运维数据的格式识别与内容理解</w:t>
      </w:r>
    </w:p>
    <w:p w14:paraId="7055506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(5)多轮对话中的上下文管理与信息递进</w:t>
      </w:r>
    </w:p>
    <w:p w14:paraId="7E204AD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(6)智能体的任务规划与工具调用</w:t>
      </w:r>
    </w:p>
    <w:p w14:paraId="6BDA3FA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(7)工作流编排与多步骤自动化执行</w:t>
      </w:r>
    </w:p>
    <w:p w14:paraId="2FE699B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(8)大模型输出的事实核验与结果复核</w:t>
      </w:r>
    </w:p>
    <w:p w14:paraId="14F69DA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3.2 面向广电业务的提示词设计</w:t>
      </w:r>
    </w:p>
    <w:p w14:paraId="0E18545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(1)面向内容生产、内容审核、故障诊断、原因分析、漏洞查找、应急响应等任务的提示词设计</w:t>
      </w:r>
    </w:p>
    <w:p w14:paraId="3B6ED45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(2)结构化输出与格式约束：分析报告、处置方案、风险清单、操作步骤</w:t>
      </w:r>
    </w:p>
    <w:p w14:paraId="5514359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(3)复杂任务分解：从“全链路方案设计”到“先搭建再生产后审核”</w:t>
      </w:r>
    </w:p>
    <w:p w14:paraId="0EC3049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(4)多轮迭代与结果校核：交叉验证、事实核验、错误纠偏</w:t>
      </w:r>
    </w:p>
    <w:p w14:paraId="4266894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(5)结合技术标准和历史案例辅助研判的提示词策略</w:t>
      </w:r>
    </w:p>
    <w:p w14:paraId="53D19A8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3.3 知识库构建与专业信息检索</w:t>
      </w:r>
    </w:p>
    <w:p w14:paraId="3966C1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(1)技术标准、运维手册、应急预案、内容审核规范等文档的导入与索引构建</w:t>
      </w:r>
    </w:p>
    <w:p w14:paraId="270DC7F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(2)告警代码、故障案例、安全事件、违规内容特征等结构化数据的整理与入库</w:t>
      </w:r>
    </w:p>
    <w:p w14:paraId="0835BA0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(3)检索策略优化：关键词设计、语义匹配与精确检索结合</w:t>
      </w:r>
    </w:p>
    <w:p w14:paraId="03982D3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(4)检索结果的引用、溯源与可信性判断</w:t>
      </w:r>
    </w:p>
    <w:p w14:paraId="431BF2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(5)知识库在内容审核、故障诊断和安全评估中的应用</w:t>
      </w:r>
    </w:p>
    <w:p w14:paraId="225E2BA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 运维保障与安全防范场景</w:t>
      </w:r>
    </w:p>
    <w:p w14:paraId="454498D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3.4.1 播出链路故障智能诊断</w:t>
      </w:r>
    </w:p>
    <w:p w14:paraId="21D8EE3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(1)运用大模型对多节点告警进行批量关联分析</w:t>
      </w:r>
    </w:p>
    <w:p w14:paraId="0D5977C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(2)告警信息分类、去重与优先级判定</w:t>
      </w:r>
    </w:p>
    <w:p w14:paraId="22A86F2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(3)结合日志与系统拓扑定位故障根因</w:t>
      </w:r>
    </w:p>
    <w:p w14:paraId="482DD44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(4)故障等级判定与影响范围评估</w:t>
      </w:r>
    </w:p>
    <w:p w14:paraId="348BBA4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(5)输出故障诊断分析报告</w:t>
      </w:r>
    </w:p>
    <w:p w14:paraId="31A3242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3.4.2 传输网络异常检测与溯源</w:t>
      </w:r>
    </w:p>
    <w:p w14:paraId="072DEAE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(1)运用大模型对流量数据和日志进行异常识别</w:t>
      </w:r>
    </w:p>
    <w:p w14:paraId="7ED69E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(2)区分网络攻击与设备故障的判定方法</w:t>
      </w:r>
    </w:p>
    <w:p w14:paraId="2F9C6A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(3)从技术标准和历史案例中检索匹配依据</w:t>
      </w:r>
    </w:p>
    <w:p w14:paraId="08B7CAB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(4)攻击溯源与故障定位的基本思路</w:t>
      </w:r>
    </w:p>
    <w:p w14:paraId="5F5BF15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(5)输出异常分析报告</w:t>
      </w:r>
    </w:p>
    <w:p w14:paraId="3F55436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3.4.3 数据安全风险评估</w:t>
      </w:r>
    </w:p>
    <w:p w14:paraId="2A4C3D7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(1)运用大模型从技术文档和配置信息中识别安全漏洞</w:t>
      </w:r>
    </w:p>
    <w:p w14:paraId="5711E10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(2)合规要求与技术现状的差距分析</w:t>
      </w:r>
    </w:p>
    <w:p w14:paraId="07E11CF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(3)多文档交叉对比与风险关联</w:t>
      </w:r>
    </w:p>
    <w:p w14:paraId="3E44EF3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(4)安全等级评定与整改优先级排序</w:t>
      </w:r>
    </w:p>
    <w:p w14:paraId="41937BC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(5)输出风险评估报告</w:t>
      </w:r>
    </w:p>
    <w:p w14:paraId="5B21393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3.4.4 跨系统综合应急响应</w:t>
      </w:r>
    </w:p>
    <w:p w14:paraId="631D71A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(1)运用大模型整合多源数据进行威胁研判</w:t>
      </w:r>
    </w:p>
    <w:p w14:paraId="224C2F7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(2)安全攻击事件的影响评估与范围判定</w:t>
      </w:r>
    </w:p>
    <w:p w14:paraId="2FDE73C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(3)应急响应方案生成与恢复计划制定</w:t>
      </w:r>
    </w:p>
    <w:p w14:paraId="076F5F1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(4)跨系统问题的综合分析与协同处置</w:t>
      </w:r>
    </w:p>
    <w:p w14:paraId="0758885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(5)输出应急响应报告和恢复方案</w:t>
      </w:r>
    </w:p>
    <w:p w14:paraId="0241361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 内容生产与审查场景</w:t>
      </w:r>
    </w:p>
    <w:p w14:paraId="13B2FB0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3.5.1 全链路AI方案设计能力</w:t>
      </w:r>
    </w:p>
    <w:p w14:paraId="43E49D4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(1)AI短视频自动化生产流水线的方案设计与技术选型</w:t>
      </w:r>
    </w:p>
    <w:p w14:paraId="6EB0E37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(2)内容生产环节的AI工具集成与工作流编排</w:t>
      </w:r>
    </w:p>
    <w:p w14:paraId="0CB8CAC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(3)智能体在内容生产全链路中的应用</w:t>
      </w:r>
    </w:p>
    <w:p w14:paraId="6E421FE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(4)方案的可行性、安全性和合规性评估</w:t>
      </w:r>
    </w:p>
    <w:p w14:paraId="22F1C57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3.5.2 内容生产安全合规能力</w:t>
      </w:r>
    </w:p>
    <w:p w14:paraId="06F83B2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(1)运用AI生成合规内容的基本原则与风险控制</w:t>
      </w:r>
    </w:p>
    <w:p w14:paraId="7B5A777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(2)内容生成后的审核与标识管理</w:t>
      </w:r>
    </w:p>
    <w:p w14:paraId="2AFCD56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(3)违规内容的识别与处置</w:t>
      </w:r>
    </w:p>
    <w:p w14:paraId="4DBBD77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(4)内容安全责任的边界与追溯</w:t>
      </w:r>
    </w:p>
    <w:p w14:paraId="2814081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3.5.3 内容审查与智能审核系统应用</w:t>
      </w:r>
    </w:p>
    <w:p w14:paraId="6FC658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(1)智能审核系统的配置与调优</w:t>
      </w:r>
    </w:p>
    <w:p w14:paraId="391F149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(2)审核结果的人工复核与误判纠正</w:t>
      </w:r>
    </w:p>
    <w:p w14:paraId="412A0C6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(3)审核标准的更新与优化</w:t>
      </w:r>
    </w:p>
    <w:p w14:paraId="2D3FF16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(4)特殊场景下的审核策略调整</w:t>
      </w:r>
    </w:p>
    <w:p w14:paraId="21934D0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3.5.4 AIGC内容溯源与鉴别</w:t>
      </w:r>
    </w:p>
    <w:p w14:paraId="736057E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(1)AIGC内容的技术特征识别</w:t>
      </w:r>
    </w:p>
    <w:p w14:paraId="0226900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(2)基于标识和元数据的内容溯源</w:t>
      </w:r>
    </w:p>
    <w:p w14:paraId="4DF356A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(3)深度伪造内容的鉴别方法</w:t>
      </w:r>
    </w:p>
    <w:p w14:paraId="2BEA40F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(4)内容真实性核验与辟谣应对</w:t>
      </w:r>
    </w:p>
    <w:p w14:paraId="388EE20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3.6 综合应用能力</w:t>
      </w:r>
    </w:p>
    <w:p w14:paraId="1C14D77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(1)多道实操题目的衔接与信息复用</w:t>
      </w:r>
    </w:p>
    <w:p w14:paraId="48F65AA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(2)基于知识库的智能问答与辅助研判</w:t>
      </w:r>
    </w:p>
    <w:p w14:paraId="3FA27EB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(3)工作流编排实现多步骤自动化分析</w:t>
      </w:r>
    </w:p>
    <w:p w14:paraId="7E69E23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(4)面向复杂广电场景的综合问题解决</w:t>
      </w:r>
    </w:p>
    <w:p w14:paraId="3DDBAA77">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kern w:val="2"/>
          <w:sz w:val="36"/>
          <w:szCs w:val="28"/>
          <w:lang w:val="en-US" w:eastAsia="zh-CN" w:bidi="ar-SA"/>
        </w:rPr>
      </w:pPr>
    </w:p>
    <w:p w14:paraId="1D89DAD0">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kern w:val="2"/>
          <w:sz w:val="36"/>
          <w:szCs w:val="28"/>
          <w:lang w:val="en-US" w:eastAsia="zh-CN" w:bidi="ar-SA"/>
        </w:rPr>
      </w:pPr>
    </w:p>
    <w:p w14:paraId="63680828">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kern w:val="2"/>
          <w:sz w:val="36"/>
          <w:szCs w:val="28"/>
          <w:lang w:val="en-US" w:eastAsia="zh-CN" w:bidi="ar-SA"/>
        </w:rPr>
      </w:pPr>
    </w:p>
    <w:p w14:paraId="7AE173E0">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kern w:val="2"/>
          <w:sz w:val="36"/>
          <w:szCs w:val="28"/>
          <w:lang w:val="en-US" w:eastAsia="zh-CN" w:bidi="ar-SA"/>
        </w:rPr>
      </w:pPr>
    </w:p>
    <w:p w14:paraId="16AE2643">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kern w:val="2"/>
          <w:sz w:val="36"/>
          <w:szCs w:val="28"/>
          <w:lang w:val="en-US" w:eastAsia="zh-CN" w:bidi="ar-SA"/>
        </w:rPr>
      </w:pPr>
      <w:r>
        <w:rPr>
          <w:rFonts w:hint="eastAsia" w:ascii="方正公文小标宋" w:hAnsi="方正公文小标宋" w:eastAsia="方正公文小标宋" w:cs="方正公文小标宋"/>
          <w:snapToGrid/>
          <w:kern w:val="2"/>
          <w:sz w:val="36"/>
          <w:szCs w:val="28"/>
          <w:lang w:val="en-US" w:eastAsia="zh-CN" w:bidi="ar-SA"/>
        </w:rPr>
        <w:t>超高清</w:t>
      </w:r>
      <w:r>
        <w:rPr>
          <w:rFonts w:hint="eastAsia" w:ascii="方正小标宋_GBK" w:hAnsi="方正小标宋_GBK" w:eastAsia="方正小标宋_GBK" w:cs="方正小标宋_GBK"/>
          <w:snapToGrid/>
          <w:color w:val="000000"/>
          <w:kern w:val="2"/>
          <w:sz w:val="36"/>
          <w:szCs w:val="28"/>
          <w:lang w:val="en-US" w:eastAsia="zh-CN" w:bidi="ar-SA"/>
        </w:rPr>
        <w:t>竞赛</w:t>
      </w:r>
      <w:r>
        <w:rPr>
          <w:rFonts w:hint="eastAsia" w:ascii="方正公文小标宋" w:hAnsi="方正公文小标宋" w:eastAsia="方正公文小标宋" w:cs="方正公文小标宋"/>
          <w:snapToGrid/>
          <w:kern w:val="2"/>
          <w:sz w:val="36"/>
          <w:szCs w:val="28"/>
          <w:lang w:val="en-US" w:eastAsia="zh-CN" w:bidi="ar-SA"/>
        </w:rPr>
        <w:t>专业</w:t>
      </w:r>
    </w:p>
    <w:p w14:paraId="7CD2D00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p>
    <w:p w14:paraId="3EA19D3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default" w:ascii="国标楷体" w:hAnsi="国标楷体" w:eastAsia="国标楷体" w:cs="国标楷体"/>
          <w:b w:val="0"/>
          <w:bCs w:val="0"/>
          <w:kern w:val="2"/>
          <w:sz w:val="32"/>
          <w:szCs w:val="24"/>
          <w:lang w:val="en-US" w:eastAsia="zh-CN" w:bidi="ar-SA"/>
        </w:rPr>
        <w:t>说明：</w:t>
      </w:r>
      <w:r>
        <w:rPr>
          <w:rFonts w:hint="eastAsia" w:ascii="国标楷体" w:hAnsi="国标楷体" w:eastAsia="国标楷体" w:cs="国标楷体"/>
          <w:b w:val="0"/>
          <w:bCs w:val="0"/>
          <w:kern w:val="2"/>
          <w:sz w:val="32"/>
          <w:szCs w:val="24"/>
          <w:lang w:val="en-US" w:eastAsia="zh-CN" w:bidi="ar-SA"/>
        </w:rPr>
        <w:t xml:space="preserve">(1) </w:t>
      </w:r>
      <w:r>
        <w:rPr>
          <w:rFonts w:hint="default" w:ascii="国标楷体" w:hAnsi="国标楷体" w:eastAsia="国标楷体" w:cs="国标楷体"/>
          <w:b w:val="0"/>
          <w:bCs w:val="0"/>
          <w:kern w:val="2"/>
          <w:sz w:val="32"/>
          <w:szCs w:val="24"/>
          <w:lang w:val="en-US" w:eastAsia="zh-CN" w:bidi="ar-SA"/>
        </w:rPr>
        <w:t>本</w:t>
      </w:r>
      <w:r>
        <w:rPr>
          <w:rFonts w:hint="eastAsia" w:ascii="国标楷体" w:hAnsi="国标楷体" w:eastAsia="国标楷体" w:cs="国标楷体"/>
          <w:b w:val="0"/>
          <w:bCs w:val="0"/>
          <w:kern w:val="2"/>
          <w:sz w:val="32"/>
          <w:szCs w:val="24"/>
          <w:lang w:val="en-US" w:eastAsia="zh-CN" w:bidi="ar-SA"/>
        </w:rPr>
        <w:t>专业</w:t>
      </w:r>
      <w:r>
        <w:rPr>
          <w:rFonts w:hint="default" w:ascii="国标楷体" w:hAnsi="国标楷体" w:eastAsia="国标楷体" w:cs="国标楷体"/>
          <w:b w:val="0"/>
          <w:bCs w:val="0"/>
          <w:kern w:val="2"/>
          <w:sz w:val="32"/>
          <w:szCs w:val="24"/>
          <w:lang w:val="en-US" w:eastAsia="zh-CN" w:bidi="ar-SA"/>
        </w:rPr>
        <w:t>竞赛分</w:t>
      </w:r>
      <w:r>
        <w:rPr>
          <w:rFonts w:hint="eastAsia" w:ascii="国标楷体" w:hAnsi="国标楷体" w:eastAsia="国标楷体" w:cs="国标楷体"/>
          <w:b w:val="0"/>
          <w:bCs w:val="0"/>
          <w:kern w:val="2"/>
          <w:sz w:val="32"/>
          <w:szCs w:val="24"/>
          <w:lang w:val="en-US" w:eastAsia="zh-CN" w:bidi="ar-SA"/>
        </w:rPr>
        <w:t>理论</w:t>
      </w:r>
      <w:r>
        <w:rPr>
          <w:rFonts w:hint="default" w:ascii="国标楷体" w:hAnsi="国标楷体" w:eastAsia="国标楷体" w:cs="国标楷体"/>
          <w:b w:val="0"/>
          <w:bCs w:val="0"/>
          <w:kern w:val="2"/>
          <w:sz w:val="32"/>
          <w:szCs w:val="24"/>
          <w:lang w:val="en-US" w:eastAsia="zh-CN" w:bidi="ar-SA"/>
        </w:rPr>
        <w:t>和实操两大部分。</w:t>
      </w:r>
    </w:p>
    <w:p w14:paraId="545FEB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(2) 理论</w:t>
      </w:r>
      <w:r>
        <w:rPr>
          <w:rFonts w:hint="default" w:ascii="国标楷体" w:hAnsi="国标楷体" w:eastAsia="国标楷体" w:cs="国标楷体"/>
          <w:b w:val="0"/>
          <w:bCs w:val="0"/>
          <w:kern w:val="2"/>
          <w:sz w:val="32"/>
          <w:szCs w:val="24"/>
          <w:lang w:val="en-US" w:eastAsia="zh-CN" w:bidi="ar-SA"/>
        </w:rPr>
        <w:t>部分包括基础考核和专业考核。基础考核对应大纲中的基础理论和专业知识；专业考核对应大纲中的专业技能。</w:t>
      </w:r>
    </w:p>
    <w:p w14:paraId="0657CFC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 xml:space="preserve">(3) </w:t>
      </w:r>
      <w:r>
        <w:rPr>
          <w:rFonts w:hint="default" w:ascii="国标楷体" w:hAnsi="国标楷体" w:eastAsia="国标楷体" w:cs="国标楷体"/>
          <w:b w:val="0"/>
          <w:bCs w:val="0"/>
          <w:kern w:val="2"/>
          <w:sz w:val="32"/>
          <w:szCs w:val="24"/>
          <w:lang w:val="en-US" w:eastAsia="zh-CN" w:bidi="ar-SA"/>
        </w:rPr>
        <w:t>实操</w:t>
      </w:r>
      <w:r>
        <w:rPr>
          <w:rFonts w:hint="eastAsia" w:ascii="国标楷体" w:hAnsi="国标楷体" w:eastAsia="国标楷体" w:cs="国标楷体"/>
          <w:b w:val="0"/>
          <w:bCs w:val="0"/>
          <w:kern w:val="2"/>
          <w:sz w:val="32"/>
          <w:szCs w:val="24"/>
          <w:lang w:val="en-US" w:eastAsia="zh-CN" w:bidi="ar-SA"/>
        </w:rPr>
        <w:t>考核主要为专业技能应用</w:t>
      </w:r>
      <w:r>
        <w:rPr>
          <w:rFonts w:hint="default" w:ascii="国标楷体" w:hAnsi="国标楷体" w:eastAsia="国标楷体" w:cs="国标楷体"/>
          <w:b w:val="0"/>
          <w:bCs w:val="0"/>
          <w:kern w:val="2"/>
          <w:sz w:val="32"/>
          <w:szCs w:val="24"/>
          <w:lang w:val="en-US" w:eastAsia="zh-CN" w:bidi="ar-SA"/>
        </w:rPr>
        <w:t>。</w:t>
      </w:r>
    </w:p>
    <w:p w14:paraId="7D3EA3F8">
      <w:pPr>
        <w:pageBreakBefore w:val="0"/>
        <w:wordWrap/>
        <w:overflowPunct/>
        <w:topLinePunct w:val="0"/>
        <w:bidi w:val="0"/>
        <w:spacing w:line="620" w:lineRule="exact"/>
        <w:ind w:firstLine="640" w:firstLineChars="200"/>
        <w:jc w:val="left"/>
        <w:rPr>
          <w:rFonts w:ascii="Arial" w:hAnsi="黑体" w:eastAsia="仿宋" w:cs="Times New Roman"/>
          <w:sz w:val="32"/>
          <w:szCs w:val="32"/>
        </w:rPr>
      </w:pPr>
    </w:p>
    <w:p w14:paraId="6492C00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1. 基本理论</w:t>
      </w:r>
    </w:p>
    <w:p w14:paraId="68C12F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 超高清视音频基本概念</w:t>
      </w:r>
    </w:p>
    <w:p w14:paraId="6903A02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(1)超高清视频技术特征</w:t>
      </w:r>
    </w:p>
    <w:p w14:paraId="280F4BB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(2)轻量化制播的技术特征</w:t>
      </w:r>
    </w:p>
    <w:p w14:paraId="386AD45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(3)高动态范围EOTF、OETF、静态元数据、动态元数据等基本概念</w:t>
      </w:r>
    </w:p>
    <w:p w14:paraId="78A44BA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(4)三维声基于声道、基于对象、HOA、ADM 元数据等基本概念</w:t>
      </w:r>
    </w:p>
    <w:p w14:paraId="7004641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(5)超高清视频浅压缩编码的概念和主要编码算法</w:t>
      </w:r>
    </w:p>
    <w:p w14:paraId="1C63073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(6)超高清视频深压缩编码的概念和主要编码算法</w:t>
      </w:r>
    </w:p>
    <w:p w14:paraId="68FE432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(7)音频编码的概念和主要编码算法</w:t>
      </w:r>
    </w:p>
    <w:p w14:paraId="5738BEC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(8)超高清文件封装格式</w:t>
      </w:r>
    </w:p>
    <w:p w14:paraId="5F27CB0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(9)超高清信号实时传输接口</w:t>
      </w:r>
    </w:p>
    <w:p w14:paraId="45DE35A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(10)声音响度的基本概念</w:t>
      </w:r>
    </w:p>
    <w:p w14:paraId="73525A0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(11)PTP同步的基本概念</w:t>
      </w:r>
    </w:p>
    <w:p w14:paraId="2964586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(12)视频修复增强的基本概念</w:t>
      </w:r>
    </w:p>
    <w:p w14:paraId="319D48C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(13)超高清视频渲染及显示</w:t>
      </w:r>
    </w:p>
    <w:p w14:paraId="5B91B35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(14)三维声音频渲染及呈现</w:t>
      </w:r>
    </w:p>
    <w:p w14:paraId="1C28BAA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(15)超高清到高清下变换</w:t>
      </w:r>
    </w:p>
    <w:p w14:paraId="4ED1427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 超高清制播及分发</w:t>
      </w:r>
    </w:p>
    <w:p w14:paraId="6A921AF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(1)《轻量化制播系统技术应用指南（2026版)》</w:t>
      </w:r>
    </w:p>
    <w:p w14:paraId="590A4A4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(2)《4K超高清和高清兼容制作及频道同播实施指南（2024版）》</w:t>
      </w:r>
    </w:p>
    <w:p w14:paraId="3DC63A1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(3)《4K超高清频道建设指南（2024版）》</w:t>
      </w:r>
    </w:p>
    <w:p w14:paraId="0D0D4BB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 IP化视频基本概念（GY/T 414—2024）</w:t>
      </w:r>
    </w:p>
    <w:p w14:paraId="5168E16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 GY/T 304—2016（AES 67）和SMPTE ST 2110-30音频基本概念</w:t>
      </w:r>
    </w:p>
    <w:p w14:paraId="5892E6C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(6)IP化视频流量整形基本概念（GY/T 416—2024）</w:t>
      </w:r>
    </w:p>
    <w:p w14:paraId="0E744B9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(7)云化、虚拟化、IP化的基本概念</w:t>
      </w:r>
    </w:p>
    <w:p w14:paraId="45C6BA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(8)软件定义网络（SDN）的基本概念</w:t>
      </w:r>
    </w:p>
    <w:p w14:paraId="5E5607A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(9)内容分发网络（CDN）的基本概念</w:t>
      </w:r>
    </w:p>
    <w:p w14:paraId="034B464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（10）网络视听内容分发的基本概念</w:t>
      </w:r>
    </w:p>
    <w:p w14:paraId="2A0BBE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（11）有线和IPTV同播频道统一序号</w:t>
      </w:r>
    </w:p>
    <w:p w14:paraId="7BCCC06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1.</w:t>
      </w:r>
      <w:r>
        <w:rPr>
          <w:rFonts w:hint="eastAsia" w:ascii="仿宋_GB2312" w:hAnsi="仿宋_GB2312" w:eastAsia="仿宋_GB2312" w:cs="仿宋_GB2312"/>
          <w:sz w:val="32"/>
          <w:lang w:val="en-US" w:eastAsia="zh-CN"/>
        </w:rPr>
        <w:t xml:space="preserve">3 </w:t>
      </w:r>
      <w:r>
        <w:rPr>
          <w:rFonts w:hint="eastAsia" w:ascii="仿宋_GB2312" w:hAnsi="仿宋_GB2312" w:eastAsia="仿宋_GB2312" w:cs="仿宋_GB2312"/>
          <w:sz w:val="32"/>
        </w:rPr>
        <w:t>法规</w:t>
      </w:r>
      <w:r>
        <w:rPr>
          <w:rFonts w:hint="eastAsia" w:ascii="仿宋_GB2312" w:hAnsi="仿宋_GB2312" w:eastAsia="仿宋_GB2312" w:cs="仿宋_GB2312"/>
          <w:sz w:val="32"/>
          <w:lang w:eastAsia="zh-CN"/>
        </w:rPr>
        <w:t>文件</w:t>
      </w:r>
    </w:p>
    <w:p w14:paraId="07150D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(1)《广播电视安全播出管理规定》（广电总局令第62号）</w:t>
      </w:r>
    </w:p>
    <w:p w14:paraId="00B4D66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(2)《广播电视安全播出管理规定》电视中心实施细则</w:t>
      </w:r>
    </w:p>
    <w:p w14:paraId="21C3A9E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(3)《广播电视安全播出管理规定》供配电系统实施细则</w:t>
      </w:r>
    </w:p>
    <w:p w14:paraId="7A06338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(4)《转播央视&lt;新闻联播&gt;等重要时政节目安全播出保障操作规程》</w:t>
      </w:r>
    </w:p>
    <w:p w14:paraId="162B94F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(5)《重大活动直转播安全传输保障工作指南（试行）》</w:t>
      </w:r>
    </w:p>
    <w:p w14:paraId="3B43FE5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 技术标准</w:t>
      </w:r>
    </w:p>
    <w:p w14:paraId="3996355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(1)《轻量化制播系统技术应用指南（2026版）》（广电办发〔2026〕89号）</w:t>
      </w:r>
    </w:p>
    <w:p w14:paraId="4A1ECD4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(2)《IPTV同播频道统一序号技术实施指南（2026版）》（广电办发〔2026〕125号）</w:t>
      </w:r>
    </w:p>
    <w:p w14:paraId="39F8073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(3)《有线电视同播频道统一序号技术实施指南（2025版）》（广电办发〔2025〕339号）</w:t>
      </w:r>
    </w:p>
    <w:p w14:paraId="39D87FE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(4)《4K超高清和高清兼容制作及频道同播实施指南（2024版）》（广电办发〔2024〕379号）</w:t>
      </w:r>
    </w:p>
    <w:p w14:paraId="7908807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(5)《4K超高清频道建设指南（2024版）》（广电办发〔2024〕379号）</w:t>
      </w:r>
    </w:p>
    <w:p w14:paraId="6BB3BF6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(6)《4K超高清电视技术应用实施指南（2023版）》（广电办发〔2023〕187号）</w:t>
      </w:r>
    </w:p>
    <w:p w14:paraId="580BD45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(7)《面向移动终端的超高清视频分发格式规范》（GY/T 427-2026）</w:t>
      </w:r>
    </w:p>
    <w:p w14:paraId="33E02C8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(8)《超高清晰度电视系统节目制作和交换参数值》（GB/T 41809-2022）</w:t>
      </w:r>
    </w:p>
    <w:p w14:paraId="6D26032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(9)《高动态范围电视节目制作和交换图像参数值》（GB/T 41808-2022）</w:t>
      </w:r>
    </w:p>
    <w:p w14:paraId="021F4F6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(10)《超高清高动态范围视频系统彩条测试图》（GY/T 330-2020）</w:t>
      </w:r>
    </w:p>
    <w:p w14:paraId="24014B9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w:t>
      </w:r>
      <w:r>
        <w:rPr>
          <w:rFonts w:hint="eastAsia" w:ascii="仿宋_GB2312" w:hAnsi="仿宋_GB2312" w:eastAsia="仿宋_GB2312" w:cs="仿宋_GB2312"/>
          <w:color w:val="auto"/>
          <w:sz w:val="32"/>
          <w:u w:val="none"/>
          <w:lang w:val="en-US" w:eastAsia="zh-CN"/>
        </w:rPr>
        <w:t>4K超高清视频图像质量主观评价用测试图像</w:t>
      </w:r>
      <w:r>
        <w:rPr>
          <w:rFonts w:hint="eastAsia" w:ascii="仿宋_GB2312" w:hAnsi="仿宋_GB2312" w:eastAsia="仿宋_GB2312" w:cs="仿宋_GB2312"/>
          <w:sz w:val="32"/>
          <w:lang w:val="en-US" w:eastAsia="zh-CN"/>
        </w:rPr>
        <w:t>》（GY/T 329-2020）</w:t>
      </w:r>
    </w:p>
    <w:p w14:paraId="09A2381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(12)《超高清晰度电视综合测试图》（GY/T 413-2024）</w:t>
      </w:r>
    </w:p>
    <w:p w14:paraId="08E9ED0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(13)《网络视听节目视频格式命名及参数规范》（GY/T 353-2021）</w:t>
      </w:r>
    </w:p>
    <w:p w14:paraId="74ACCA6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(14)《高动态范围电视系统显示适配元数据技术要求》（GY/T 358-2022）</w:t>
      </w:r>
    </w:p>
    <w:p w14:paraId="7BD8FAF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(15)《4K 超高清晰度电视节目录制规范》（GY/T 364-2023）</w:t>
      </w:r>
    </w:p>
    <w:p w14:paraId="3AF6145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(16)《4K 超高清晰度电视节目文件格式规范》（GY/T 365-2023）</w:t>
      </w:r>
    </w:p>
    <w:p w14:paraId="7E130CD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(17)《超高清晰度电视节目制播用监视器技术要求和测量方法》（GY/T 371-2023）</w:t>
      </w:r>
    </w:p>
    <w:p w14:paraId="0635496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(18)《数字电视节目平均响度和真峰值音频电平技术要求》（GY/T 282-2014）</w:t>
      </w:r>
    </w:p>
    <w:p w14:paraId="2B9F4C0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(19)《网络视听节目音频响度技术要求和测量方法》（GY/T 377-2023）</w:t>
      </w:r>
    </w:p>
    <w:p w14:paraId="5A649A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(20)《三维声编解码及渲染》（GY/T 363-2023）</w:t>
      </w:r>
    </w:p>
    <w:p w14:paraId="6EA8F85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(21)《AoIP 网关技术要求和测量方法》（GY/T 372-2023）</w:t>
      </w:r>
    </w:p>
    <w:p w14:paraId="25071B4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(22)《IP制播系统 视频流量整形和分发时序》（GY/T 416-2024）</w:t>
      </w:r>
    </w:p>
    <w:p w14:paraId="24E51D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(23)《IP制播系统 系统定时和定义》（GY/T 415-2024）</w:t>
      </w:r>
    </w:p>
    <w:p w14:paraId="3BCF32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(24)《IP制播系统 非压缩视频流》（GY/T 414-2024）</w:t>
      </w:r>
    </w:p>
    <w:p w14:paraId="3CDC373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(25)《广播级超高清摄像机技术要求和测量方法》（GY/T 425-2025）</w:t>
      </w:r>
    </w:p>
    <w:p w14:paraId="1C811BF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(26)《IP交换矩阵技术要求和测量方法》（GY/T 367-2023）</w:t>
      </w:r>
    </w:p>
    <w:p w14:paraId="525D788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(27)《SDI/IP转换网关技术要求和测量方法》（GD/J 139-2022）</w:t>
      </w:r>
    </w:p>
    <w:p w14:paraId="5B6B619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(28)《4K超高清晰度电视-高清晰度电视下变换器技术要求和测量方法》（GD/J 140-2023）</w:t>
      </w:r>
    </w:p>
    <w:p w14:paraId="5363E5E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(29)《数字电视转播车技术要求和测量方法》（GY/T 222-2023）</w:t>
      </w:r>
    </w:p>
    <w:p w14:paraId="41CD016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(30)《专业广播环境下音视频设备精确时间同步协议规范》（GY/T 348-2021）</w:t>
      </w:r>
    </w:p>
    <w:p w14:paraId="7E8B534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(31)《电视剧母版制作规范》（GY/T 357-2024）</w:t>
      </w:r>
    </w:p>
    <w:p w14:paraId="6595599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(32)《制作域超高清视频近无损编码图像质量主观评价方法》（GY/T 424-2025）</w:t>
      </w:r>
    </w:p>
    <w:p w14:paraId="0CCF6C6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(33)《网络视听节目视频技术质量要求和主观评价方法》（GY/T 405-2024）</w:t>
      </w:r>
    </w:p>
    <w:p w14:paraId="226ABA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(34)《超高清晰度电视图像质量主观评价方法 双刺激连续质量标度法》（GY/T 340-2020）</w:t>
      </w:r>
    </w:p>
    <w:p w14:paraId="71A92FA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(35)《超高清视频图像质量客观评价方法》（GY/T 412-2024）</w:t>
      </w:r>
    </w:p>
    <w:p w14:paraId="488F026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(36)《先进高效视频编码》（GY/T 368-2023）</w:t>
      </w:r>
    </w:p>
    <w:p w14:paraId="74CCBAC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(37)《视频浅压缩编码 第1部分：超高清视频分层编码》（GY/T 398.1-2024）</w:t>
      </w:r>
    </w:p>
    <w:p w14:paraId="032760B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(38)《综合布线系统工程验收规范》（GB/T 50312-2016）</w:t>
      </w:r>
    </w:p>
    <w:p w14:paraId="2563ACD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(39)《电视台信息系统运行维护服务通用要求》（GY/T 317-2018）</w:t>
      </w:r>
    </w:p>
    <w:p w14:paraId="5BF2971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(40)《广播电视网络安全等级保护定级指南》（GY/T 337-2020）</w:t>
      </w:r>
    </w:p>
    <w:p w14:paraId="6573531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p>
    <w:p w14:paraId="4B30B0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2. 专业知识</w:t>
      </w:r>
    </w:p>
    <w:p w14:paraId="07D884C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 xml:space="preserve">2.1 </w:t>
      </w:r>
      <w:r>
        <w:rPr>
          <w:rFonts w:hint="default" w:ascii="仿宋_GB2312" w:hAnsi="仿宋_GB2312" w:eastAsia="仿宋_GB2312" w:cs="仿宋_GB2312"/>
          <w:sz w:val="32"/>
          <w:lang w:val="en-US" w:eastAsia="zh-CN"/>
        </w:rPr>
        <w:t>超高清演播系统</w:t>
      </w:r>
    </w:p>
    <w:p w14:paraId="428AE9A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(1)广播级超高清摄像机分类和技术要求</w:t>
      </w:r>
    </w:p>
    <w:p w14:paraId="00E63A8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(2)超高清转播车的分类和基本配置要求</w:t>
      </w:r>
    </w:p>
    <w:p w14:paraId="63A642D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(3)超高清演播视频系统的组成和主要设备</w:t>
      </w:r>
    </w:p>
    <w:p w14:paraId="7AC7D29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(4)超高清演播音频系统的组成和主要设备</w:t>
      </w:r>
    </w:p>
    <w:p w14:paraId="5D663D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(5)轻量化演播系统音视频组成和主要设备</w:t>
      </w:r>
    </w:p>
    <w:p w14:paraId="1523CD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(6)IP交换矩阵功能模块组成</w:t>
      </w:r>
    </w:p>
    <w:p w14:paraId="39A293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(7)SDI/IP转换网关主要功能</w:t>
      </w:r>
    </w:p>
    <w:p w14:paraId="325141B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(8)AoIP网关主要功能</w:t>
      </w:r>
    </w:p>
    <w:p w14:paraId="57A44A1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(9)超高清演播系统音视频信号指标与技术参数要求</w:t>
      </w:r>
    </w:p>
    <w:p w14:paraId="6797D76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 xml:space="preserve">2.2 </w:t>
      </w:r>
      <w:r>
        <w:rPr>
          <w:rFonts w:hint="default" w:ascii="仿宋_GB2312" w:hAnsi="仿宋_GB2312" w:eastAsia="仿宋_GB2312" w:cs="仿宋_GB2312"/>
          <w:sz w:val="32"/>
          <w:lang w:val="en-US" w:eastAsia="zh-CN"/>
        </w:rPr>
        <w:t>超高清制作系统</w:t>
      </w:r>
    </w:p>
    <w:p w14:paraId="5877714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(1)超高清非编常用的视音频格式</w:t>
      </w:r>
    </w:p>
    <w:p w14:paraId="3A3EC91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(2)超高清节目制作常用的媒体格式、码率大小、文件封装格式</w:t>
      </w:r>
    </w:p>
    <w:p w14:paraId="7A5B6E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(3)制作网常用的网络架构和组网方式，设计容量和带宽的估算方法</w:t>
      </w:r>
    </w:p>
    <w:p w14:paraId="4F2F5FC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(4)超高清调色、包装设备</w:t>
      </w:r>
    </w:p>
    <w:p w14:paraId="7CEA40F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(5)超高清视频增强设备</w:t>
      </w:r>
    </w:p>
    <w:p w14:paraId="5561A3F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(6)超高清视频渲染设备</w:t>
      </w:r>
    </w:p>
    <w:p w14:paraId="5919CC3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(7)三维声制作系统和设备</w:t>
      </w:r>
    </w:p>
    <w:p w14:paraId="3F84728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(8)超高清技审相关系统和设备</w:t>
      </w:r>
    </w:p>
    <w:p w14:paraId="242B99D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 xml:space="preserve">2.3 </w:t>
      </w:r>
      <w:r>
        <w:rPr>
          <w:rFonts w:hint="default" w:ascii="仿宋_GB2312" w:hAnsi="仿宋_GB2312" w:eastAsia="仿宋_GB2312" w:cs="仿宋_GB2312"/>
          <w:sz w:val="32"/>
          <w:lang w:val="en-US" w:eastAsia="zh-CN"/>
        </w:rPr>
        <w:t>超高清媒资系统</w:t>
      </w:r>
    </w:p>
    <w:p w14:paraId="352373B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(1)媒资系统存储格式与交换格式的选择，常用编码格式的应用场景、码率、存储空间占用的计算</w:t>
      </w:r>
    </w:p>
    <w:p w14:paraId="76C03F5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(2)媒体数据的存储策略、备份及恢复方案</w:t>
      </w:r>
    </w:p>
    <w:p w14:paraId="51E65E9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(3)数据流带库、蓝光存储、磁盘存储等的基本知识</w:t>
      </w:r>
    </w:p>
    <w:p w14:paraId="115FA2B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(4)视音频转码相关技术和设备</w:t>
      </w:r>
    </w:p>
    <w:p w14:paraId="4D2682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 xml:space="preserve">2.4 </w:t>
      </w:r>
      <w:r>
        <w:rPr>
          <w:rFonts w:hint="default" w:ascii="仿宋_GB2312" w:hAnsi="仿宋_GB2312" w:eastAsia="仿宋_GB2312" w:cs="仿宋_GB2312"/>
          <w:sz w:val="32"/>
          <w:lang w:val="en-US" w:eastAsia="zh-CN"/>
        </w:rPr>
        <w:t>超高清播控系统</w:t>
      </w:r>
    </w:p>
    <w:p w14:paraId="10F5A46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(1)播控系统的组成及应急处理机制</w:t>
      </w:r>
    </w:p>
    <w:p w14:paraId="17F76C1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(2)播控矩阵、切换设备的功能</w:t>
      </w:r>
    </w:p>
    <w:p w14:paraId="335ED23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(3)帧同步、键控器等设备的功能</w:t>
      </w:r>
    </w:p>
    <w:p w14:paraId="242887E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(4)响度控制器的功能</w:t>
      </w:r>
    </w:p>
    <w:p w14:paraId="04A9A9D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(5)播控工作站的功能</w:t>
      </w:r>
    </w:p>
    <w:p w14:paraId="6282062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(6)高清/超高清同播相关技术和设备</w:t>
      </w:r>
    </w:p>
    <w:p w14:paraId="5394BE4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2.5 新媒体</w:t>
      </w:r>
    </w:p>
    <w:p w14:paraId="246B28B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(1)新媒体客户端的概念及相关技术</w:t>
      </w:r>
    </w:p>
    <w:p w14:paraId="79806D4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(2)一体化制作多渠道分发的概念及相关技术</w:t>
      </w:r>
    </w:p>
    <w:p w14:paraId="5843071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2.6 网络系统</w:t>
      </w:r>
    </w:p>
    <w:p w14:paraId="7B3F712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(1)网络化、虚拟化、云化相关技术和设备</w:t>
      </w:r>
    </w:p>
    <w:p w14:paraId="34528C2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(2)制播网络的运行状态监测与故障排查技术</w:t>
      </w:r>
    </w:p>
    <w:p w14:paraId="43EA05C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2.7 传输系统</w:t>
      </w:r>
    </w:p>
    <w:p w14:paraId="0AFEB26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(1)卫星传输的信道编解码、调制方式、前向纠错编码等基本概念与相关技术</w:t>
      </w:r>
    </w:p>
    <w:p w14:paraId="706A29F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(2)基于IP网络的传输协议、网络时延、网络抖动等基本概念与相关技术</w:t>
      </w:r>
    </w:p>
    <w:p w14:paraId="1882CFA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p>
    <w:p w14:paraId="0F4BB6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3. 专业技能</w:t>
      </w:r>
    </w:p>
    <w:p w14:paraId="64D3D9D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3.1 测量仪器的使用</w:t>
      </w:r>
    </w:p>
    <w:p w14:paraId="4646C7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(1)超高清视频信号源(如Telestream SPG9000</w:t>
      </w:r>
      <w:bookmarkStart w:id="0" w:name="OLE_LINK68"/>
      <w:r>
        <w:rPr>
          <w:rFonts w:hint="eastAsia" w:ascii="仿宋_GB2312" w:hAnsi="仿宋_GB2312" w:eastAsia="仿宋_GB2312" w:cs="仿宋_GB2312"/>
          <w:sz w:val="32"/>
          <w:lang w:val="en-US" w:eastAsia="zh-CN"/>
        </w:rPr>
        <w:t>等</w:t>
      </w:r>
      <w:bookmarkEnd w:id="0"/>
      <w:r>
        <w:rPr>
          <w:rFonts w:hint="eastAsia" w:ascii="仿宋_GB2312" w:hAnsi="仿宋_GB2312" w:eastAsia="仿宋_GB2312" w:cs="仿宋_GB2312"/>
          <w:sz w:val="32"/>
          <w:lang w:val="en-US" w:eastAsia="zh-CN"/>
        </w:rPr>
        <w:t>)</w:t>
      </w:r>
    </w:p>
    <w:p w14:paraId="530870B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(2)超高清视频分析仪(如</w:t>
      </w:r>
      <w:bookmarkStart w:id="1" w:name="OLE_LINK1"/>
      <w:r>
        <w:rPr>
          <w:rFonts w:hint="eastAsia" w:ascii="仿宋_GB2312" w:hAnsi="仿宋_GB2312" w:eastAsia="仿宋_GB2312" w:cs="仿宋_GB2312"/>
          <w:sz w:val="32"/>
          <w:lang w:val="en-US" w:eastAsia="zh-CN"/>
        </w:rPr>
        <w:t>Telestream PRISM</w:t>
      </w:r>
      <w:bookmarkEnd w:id="1"/>
      <w:r>
        <w:rPr>
          <w:rFonts w:hint="eastAsia" w:ascii="仿宋_GB2312" w:hAnsi="仿宋_GB2312" w:eastAsia="仿宋_GB2312" w:cs="仿宋_GB2312"/>
          <w:sz w:val="32"/>
          <w:lang w:val="en-US" w:eastAsia="zh-CN"/>
        </w:rPr>
        <w:t>和LEADER系列等)</w:t>
      </w:r>
    </w:p>
    <w:p w14:paraId="7D336C4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(3)音频分析仪(如AP系列等)</w:t>
      </w:r>
    </w:p>
    <w:p w14:paraId="0D8BF2A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(4)时钟同步分析仪（如夏光SyncEdge等）</w:t>
      </w:r>
    </w:p>
    <w:p w14:paraId="6366319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(5)超高清数字噪声测试仪（如ABP-SNR、ASACA AVN8000等）</w:t>
      </w:r>
    </w:p>
    <w:p w14:paraId="1D81E6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(6)码流分析仪（如R&amp;S DVM400等）</w:t>
      </w:r>
    </w:p>
    <w:p w14:paraId="4C6BB74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(7)以太网传输性能测试仪(如FLUKE OPTIVIEW-XG等)</w:t>
      </w:r>
    </w:p>
    <w:p w14:paraId="3CFC769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(8)分光辐射亮度计（如KONICA MINOLTA CS-2000A等）</w:t>
      </w:r>
    </w:p>
    <w:p w14:paraId="6A653F7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(9)超高清图像质量分析仪（ABPQA、Tektronix PQA600A等）</w:t>
      </w:r>
    </w:p>
    <w:p w14:paraId="4DFA687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(10)超高清标准测试图（GY/T 413）</w:t>
      </w:r>
    </w:p>
    <w:p w14:paraId="4B99F0E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(11)超高清测试序列（GY/T 329）</w:t>
      </w:r>
    </w:p>
    <w:p w14:paraId="07DB41C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3.2 超高清摄像机的测量</w:t>
      </w:r>
    </w:p>
    <w:p w14:paraId="1AC57DE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超高清摄像机灵敏度、信噪比、动态范围、清晰度、疵点等指标的基本测试方法</w:t>
      </w:r>
    </w:p>
    <w:p w14:paraId="4941672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3.3 超高清视音频系统的测量</w:t>
      </w:r>
    </w:p>
    <w:p w14:paraId="36F488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(1)超高清数字视频接口及格式，包括：接口信号幅度、上升时间、下降时间、上冲、下冲、直流电平偏移、抖动、误码检测等</w:t>
      </w:r>
    </w:p>
    <w:p w14:paraId="204D367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(2)超高清数字音频及嵌入音频指标，包括：信号电平、幅频特性、信噪比、谐波失真、相位差等</w:t>
      </w:r>
    </w:p>
    <w:p w14:paraId="701004E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(3)超高清音视频相对延时的测试</w:t>
      </w:r>
    </w:p>
    <w:p w14:paraId="3546F2E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(4)超高清同步特性测试，包括PTP同步特性、黑场同步特性和三电平同步特性</w:t>
      </w:r>
    </w:p>
    <w:p w14:paraId="01E1960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(5)超高清音频响度的测试，包括瞬时响度、短期响度、平均响度</w:t>
      </w:r>
    </w:p>
    <w:p w14:paraId="2CD103E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(6)超高清IP 流数据格式和指标，包括IP 流状态分析、RTP Header分析、包间隔时分析、流定时分析、RTP包连续性</w:t>
      </w:r>
    </w:p>
    <w:p w14:paraId="2AA5822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 xml:space="preserve">3.4 </w:t>
      </w:r>
      <w:r>
        <w:rPr>
          <w:rFonts w:hint="default" w:ascii="仿宋_GB2312" w:hAnsi="仿宋_GB2312" w:eastAsia="仿宋_GB2312" w:cs="仿宋_GB2312"/>
          <w:sz w:val="32"/>
          <w:lang w:val="en-US" w:eastAsia="zh-CN"/>
        </w:rPr>
        <w:t>超高清图像质量测量</w:t>
      </w:r>
    </w:p>
    <w:p w14:paraId="4D4BFE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(1)图像质量的客观测量方法</w:t>
      </w:r>
    </w:p>
    <w:p w14:paraId="4C39457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(2)图像质量的主观评价方法</w:t>
      </w:r>
    </w:p>
    <w:p w14:paraId="344F9DD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 超高清文件格式分析</w:t>
      </w:r>
    </w:p>
    <w:p w14:paraId="0CB7563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(1)文件封装格式分析</w:t>
      </w:r>
    </w:p>
    <w:p w14:paraId="3F81B89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(2)元数据分析</w:t>
      </w:r>
    </w:p>
    <w:p w14:paraId="676A432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3.6 超高清制播网络性能测试</w:t>
      </w:r>
    </w:p>
    <w:p w14:paraId="02B0E9C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(1)网络状态监看</w:t>
      </w:r>
    </w:p>
    <w:p w14:paraId="3E2BCE4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(2)节目合成、迁移、转码效率测试</w:t>
      </w:r>
    </w:p>
    <w:p w14:paraId="2BFB328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(3)网络存储读写性能测试</w:t>
      </w:r>
    </w:p>
    <w:p w14:paraId="667A93B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(4)网络传输性能：吞吐率、延时、丢包率、抖动、误码率</w:t>
      </w:r>
    </w:p>
    <w:p w14:paraId="666A391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(5)网络运行健康状况：带宽利用率、错误帧率、广播率、组播率</w:t>
      </w:r>
    </w:p>
    <w:p w14:paraId="3B1E352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(6)IP传输层性能：传输延迟因子、丢包率</w:t>
      </w:r>
    </w:p>
    <w:p w14:paraId="0BDA8B3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3.7 超高清系统故障排查应急处置</w:t>
      </w:r>
    </w:p>
    <w:p w14:paraId="3F01D09B">
      <w:pPr>
        <w:widowControl w:val="0"/>
        <w:kinsoku/>
        <w:autoSpaceDE/>
        <w:autoSpaceDN/>
        <w:adjustRightInd/>
        <w:snapToGrid/>
        <w:spacing w:line="660" w:lineRule="exact"/>
        <w:ind w:left="0" w:leftChars="0" w:firstLine="0" w:firstLineChars="0"/>
        <w:jc w:val="center"/>
        <w:textAlignment w:val="auto"/>
        <w:rPr>
          <w:rFonts w:hint="eastAsia" w:ascii="方正公文小标宋" w:hAnsi="方正公文小标宋" w:eastAsia="方正公文小标宋" w:cs="方正公文小标宋"/>
          <w:snapToGrid/>
          <w:color w:val="000000"/>
          <w:kern w:val="2"/>
          <w:sz w:val="36"/>
          <w:szCs w:val="28"/>
          <w:lang w:val="en-US" w:eastAsia="zh-CN" w:bidi="ar-SA"/>
        </w:rPr>
      </w:pPr>
    </w:p>
    <w:p w14:paraId="68595BB1">
      <w:pPr>
        <w:widowControl w:val="0"/>
        <w:kinsoku/>
        <w:autoSpaceDE/>
        <w:autoSpaceDN/>
        <w:adjustRightInd/>
        <w:snapToGrid/>
        <w:spacing w:line="660" w:lineRule="exact"/>
        <w:ind w:left="0" w:leftChars="0" w:firstLine="0" w:firstLineChars="0"/>
        <w:jc w:val="center"/>
        <w:textAlignment w:val="auto"/>
        <w:rPr>
          <w:rFonts w:hint="eastAsia" w:ascii="方正小标宋_GBK" w:hAnsi="方正小标宋_GBK" w:eastAsia="方正小标宋_GBK" w:cs="方正小标宋_GBK"/>
          <w:snapToGrid/>
          <w:color w:val="000000"/>
          <w:kern w:val="2"/>
          <w:sz w:val="36"/>
          <w:szCs w:val="28"/>
          <w:lang w:val="en-US" w:eastAsia="zh-CN" w:bidi="ar-SA"/>
        </w:rPr>
      </w:pPr>
    </w:p>
    <w:p w14:paraId="57264DAD">
      <w:pPr>
        <w:widowControl w:val="0"/>
        <w:kinsoku/>
        <w:autoSpaceDE/>
        <w:autoSpaceDN/>
        <w:adjustRightInd/>
        <w:snapToGrid/>
        <w:spacing w:line="660" w:lineRule="exact"/>
        <w:ind w:left="0" w:leftChars="0" w:firstLine="0" w:firstLineChars="0"/>
        <w:jc w:val="center"/>
        <w:textAlignment w:val="auto"/>
        <w:rPr>
          <w:rFonts w:hint="eastAsia" w:ascii="方正小标宋_GBK" w:hAnsi="方正小标宋_GBK" w:eastAsia="方正小标宋_GBK" w:cs="方正小标宋_GBK"/>
          <w:snapToGrid/>
          <w:color w:val="000000"/>
          <w:kern w:val="2"/>
          <w:sz w:val="36"/>
          <w:szCs w:val="28"/>
          <w:lang w:val="en-US" w:eastAsia="zh-CN" w:bidi="ar-SA"/>
        </w:rPr>
      </w:pPr>
    </w:p>
    <w:p w14:paraId="09D60294">
      <w:pPr>
        <w:spacing w:line="660" w:lineRule="exact"/>
        <w:ind w:left="0" w:leftChars="0" w:firstLine="0" w:firstLineChars="0"/>
        <w:jc w:val="center"/>
        <w:rPr>
          <w:rFonts w:hint="eastAsia" w:ascii="方正公文小标宋" w:hAnsi="方正公文小标宋" w:eastAsia="方正公文小标宋" w:cs="方正公文小标宋"/>
          <w:kern w:val="2"/>
          <w:sz w:val="36"/>
          <w:szCs w:val="28"/>
          <w:lang w:val="en-US" w:eastAsia="zh-CN" w:bidi="ar-SA"/>
        </w:rPr>
      </w:pPr>
    </w:p>
    <w:p w14:paraId="341DE585">
      <w:pPr>
        <w:spacing w:line="660" w:lineRule="exact"/>
        <w:ind w:left="0" w:leftChars="0" w:firstLine="0" w:firstLineChars="0"/>
        <w:jc w:val="center"/>
        <w:rPr>
          <w:rFonts w:hint="eastAsia" w:ascii="方正公文小标宋" w:hAnsi="方正公文小标宋" w:eastAsia="方正公文小标宋" w:cs="方正公文小标宋"/>
          <w:kern w:val="2"/>
          <w:sz w:val="36"/>
          <w:szCs w:val="28"/>
          <w:lang w:val="en-US" w:eastAsia="zh-CN" w:bidi="ar-SA"/>
        </w:rPr>
      </w:pPr>
    </w:p>
    <w:p w14:paraId="014FF003">
      <w:pPr>
        <w:spacing w:line="660" w:lineRule="exact"/>
        <w:ind w:left="0" w:leftChars="0" w:firstLine="0" w:firstLineChars="0"/>
        <w:jc w:val="center"/>
        <w:rPr>
          <w:rFonts w:ascii="Times New Roman" w:hAnsi="Times New Roman" w:eastAsia="Times New Roman" w:cs="Times New Roman"/>
          <w:color w:val="auto"/>
          <w:spacing w:val="0"/>
          <w:position w:val="0"/>
          <w:sz w:val="24"/>
          <w:shd w:val="clear" w:color="auto" w:fill="auto"/>
        </w:rPr>
      </w:pPr>
      <w:r>
        <w:rPr>
          <w:rFonts w:hint="eastAsia" w:ascii="方正公文小标宋" w:hAnsi="方正公文小标宋" w:eastAsia="方正公文小标宋" w:cs="方正公文小标宋"/>
          <w:kern w:val="2"/>
          <w:sz w:val="36"/>
          <w:szCs w:val="28"/>
          <w:lang w:val="en-US" w:eastAsia="zh-CN" w:bidi="ar-SA"/>
        </w:rPr>
        <w:t>应急广播</w:t>
      </w:r>
      <w:r>
        <w:rPr>
          <w:rFonts w:hint="eastAsia" w:ascii="方正小标宋_GBK" w:hAnsi="方正小标宋_GBK" w:eastAsia="方正小标宋_GBK" w:cs="方正小标宋_GBK"/>
          <w:snapToGrid/>
          <w:color w:val="000000"/>
          <w:kern w:val="2"/>
          <w:sz w:val="36"/>
          <w:szCs w:val="28"/>
          <w:lang w:val="en-US" w:eastAsia="zh-CN" w:bidi="ar-SA"/>
        </w:rPr>
        <w:t>竞赛</w:t>
      </w:r>
      <w:r>
        <w:rPr>
          <w:rFonts w:hint="eastAsia" w:ascii="方正公文小标宋" w:hAnsi="方正公文小标宋" w:eastAsia="方正公文小标宋" w:cs="方正公文小标宋"/>
          <w:kern w:val="2"/>
          <w:sz w:val="36"/>
          <w:szCs w:val="28"/>
          <w:lang w:val="en-US" w:eastAsia="zh-CN" w:bidi="ar-SA"/>
        </w:rPr>
        <w:t>专业</w:t>
      </w:r>
    </w:p>
    <w:p w14:paraId="0C5B1B5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p>
    <w:p w14:paraId="64D743E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default" w:ascii="国标楷体" w:hAnsi="国标楷体" w:eastAsia="国标楷体" w:cs="国标楷体"/>
          <w:b w:val="0"/>
          <w:bCs w:val="0"/>
          <w:kern w:val="2"/>
          <w:sz w:val="32"/>
          <w:szCs w:val="24"/>
          <w:lang w:val="en-US" w:eastAsia="zh-CN" w:bidi="ar-SA"/>
        </w:rPr>
        <w:t>说明：</w:t>
      </w:r>
      <w:r>
        <w:rPr>
          <w:rFonts w:hint="eastAsia" w:ascii="国标楷体" w:hAnsi="国标楷体" w:eastAsia="国标楷体" w:cs="国标楷体"/>
          <w:b w:val="0"/>
          <w:bCs w:val="0"/>
          <w:kern w:val="2"/>
          <w:sz w:val="32"/>
          <w:szCs w:val="24"/>
          <w:lang w:val="en-US" w:eastAsia="zh-CN" w:bidi="ar-SA"/>
        </w:rPr>
        <w:t xml:space="preserve">(1) </w:t>
      </w:r>
      <w:r>
        <w:rPr>
          <w:rFonts w:hint="default" w:ascii="国标楷体" w:hAnsi="国标楷体" w:eastAsia="国标楷体" w:cs="国标楷体"/>
          <w:b w:val="0"/>
          <w:bCs w:val="0"/>
          <w:kern w:val="2"/>
          <w:sz w:val="32"/>
          <w:szCs w:val="24"/>
          <w:lang w:val="en-US" w:eastAsia="zh-CN" w:bidi="ar-SA"/>
        </w:rPr>
        <w:t>本</w:t>
      </w:r>
      <w:r>
        <w:rPr>
          <w:rFonts w:hint="eastAsia" w:ascii="国标楷体" w:hAnsi="国标楷体" w:eastAsia="国标楷体" w:cs="国标楷体"/>
          <w:b w:val="0"/>
          <w:bCs w:val="0"/>
          <w:kern w:val="2"/>
          <w:sz w:val="32"/>
          <w:szCs w:val="24"/>
          <w:lang w:val="en-US" w:eastAsia="zh-CN" w:bidi="ar-SA"/>
        </w:rPr>
        <w:t>专业竞赛</w:t>
      </w:r>
      <w:r>
        <w:rPr>
          <w:rFonts w:hint="default" w:ascii="国标楷体" w:hAnsi="国标楷体" w:eastAsia="国标楷体" w:cs="国标楷体"/>
          <w:b w:val="0"/>
          <w:bCs w:val="0"/>
          <w:kern w:val="2"/>
          <w:sz w:val="32"/>
          <w:szCs w:val="24"/>
          <w:lang w:val="en-US" w:eastAsia="zh-CN" w:bidi="ar-SA"/>
        </w:rPr>
        <w:t>分</w:t>
      </w:r>
      <w:r>
        <w:rPr>
          <w:rFonts w:hint="eastAsia" w:ascii="国标楷体" w:hAnsi="国标楷体" w:eastAsia="国标楷体" w:cs="国标楷体"/>
          <w:b w:val="0"/>
          <w:bCs w:val="0"/>
          <w:kern w:val="2"/>
          <w:sz w:val="32"/>
          <w:szCs w:val="24"/>
          <w:lang w:val="en-US" w:eastAsia="zh-CN" w:bidi="ar-SA"/>
        </w:rPr>
        <w:t>理论</w:t>
      </w:r>
      <w:r>
        <w:rPr>
          <w:rFonts w:hint="default" w:ascii="国标楷体" w:hAnsi="国标楷体" w:eastAsia="国标楷体" w:cs="国标楷体"/>
          <w:b w:val="0"/>
          <w:bCs w:val="0"/>
          <w:kern w:val="2"/>
          <w:sz w:val="32"/>
          <w:szCs w:val="24"/>
          <w:lang w:val="en-US" w:eastAsia="zh-CN" w:bidi="ar-SA"/>
        </w:rPr>
        <w:t>和实操两大部分。</w:t>
      </w:r>
    </w:p>
    <w:p w14:paraId="7659960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(2) 理论</w:t>
      </w:r>
      <w:r>
        <w:rPr>
          <w:rFonts w:hint="default" w:ascii="国标楷体" w:hAnsi="国标楷体" w:eastAsia="国标楷体" w:cs="国标楷体"/>
          <w:b w:val="0"/>
          <w:bCs w:val="0"/>
          <w:kern w:val="2"/>
          <w:sz w:val="32"/>
          <w:szCs w:val="24"/>
          <w:lang w:val="en-US" w:eastAsia="zh-CN" w:bidi="ar-SA"/>
        </w:rPr>
        <w:t>部分包括基础考核和专业考核。基础考核对应大纲中的基础理论和专业知识；专业考核对应大纲中的专业技能。</w:t>
      </w:r>
    </w:p>
    <w:p w14:paraId="428E86F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(3) 实操考核进行应急广播平台操作。</w:t>
      </w:r>
    </w:p>
    <w:p w14:paraId="3529F54A">
      <w:pPr>
        <w:spacing w:before="0" w:after="0" w:line="240" w:lineRule="auto"/>
        <w:ind w:left="0" w:right="0" w:firstLine="480" w:firstLineChars="200"/>
        <w:jc w:val="both"/>
        <w:rPr>
          <w:rFonts w:ascii="方正仿宋_GBK" w:hAnsi="方正仿宋_GBK" w:eastAsia="方正仿宋_GBK" w:cs="方正仿宋_GBK"/>
          <w:color w:val="auto"/>
          <w:spacing w:val="0"/>
          <w:position w:val="0"/>
          <w:sz w:val="24"/>
          <w:shd w:val="clear" w:color="auto" w:fill="auto"/>
        </w:rPr>
      </w:pPr>
    </w:p>
    <w:p w14:paraId="679872C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lang w:val="en-US" w:eastAsia="zh-CN"/>
        </w:rPr>
      </w:pPr>
      <w:r>
        <w:rPr>
          <w:rFonts w:hint="default" w:ascii="仿宋_GB2312" w:hAnsi="仿宋_GB2312" w:eastAsia="仿宋_GB2312" w:cs="仿宋_GB2312"/>
          <w:b/>
          <w:bCs/>
          <w:sz w:val="32"/>
          <w:lang w:val="en-US" w:eastAsia="zh-CN"/>
        </w:rPr>
        <w:t>1. 基</w:t>
      </w:r>
      <w:r>
        <w:rPr>
          <w:rFonts w:hint="eastAsia" w:ascii="仿宋_GB2312" w:hAnsi="仿宋_GB2312" w:eastAsia="仿宋_GB2312" w:cs="仿宋_GB2312"/>
          <w:b/>
          <w:bCs/>
          <w:sz w:val="32"/>
          <w:lang w:val="en-US" w:eastAsia="zh-CN"/>
        </w:rPr>
        <w:t>础理论</w:t>
      </w:r>
    </w:p>
    <w:p w14:paraId="1AEC3BC8">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黑体" w:eastAsia="仿宋_GB2312" w:cs="Times New Roman"/>
          <w:sz w:val="32"/>
          <w:szCs w:val="32"/>
        </w:rPr>
        <w:t>《广播电视安全播出管理规定》（广电总局令第62号）</w:t>
      </w:r>
    </w:p>
    <w:p w14:paraId="08A99614">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黑体" w:eastAsia="仿宋_GB2312" w:cs="Times New Roman"/>
          <w:sz w:val="32"/>
          <w:szCs w:val="32"/>
        </w:rPr>
        <w:t>《广播电视安全播出管理规定》应急广播实施细则</w:t>
      </w:r>
    </w:p>
    <w:p w14:paraId="00FC9ACB">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黑体" w:eastAsia="仿宋_GB2312" w:cs="Times New Roman"/>
          <w:sz w:val="32"/>
          <w:szCs w:val="32"/>
        </w:rPr>
        <w:t>《中华人民共和国网络安全法》</w:t>
      </w:r>
    </w:p>
    <w:p w14:paraId="254DE3B3">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(4)</w:t>
      </w:r>
      <w:r>
        <w:rPr>
          <w:rFonts w:hint="eastAsia" w:ascii="仿宋_GB2312" w:hAnsi="黑体" w:eastAsia="仿宋_GB2312" w:cs="Times New Roman"/>
          <w:sz w:val="32"/>
          <w:szCs w:val="32"/>
        </w:rPr>
        <w:t>《广播电视网络安全管理办法》</w:t>
      </w:r>
    </w:p>
    <w:p w14:paraId="2FC0D785">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(5)</w:t>
      </w:r>
      <w:r>
        <w:rPr>
          <w:rFonts w:hint="eastAsia" w:ascii="仿宋_GB2312" w:hAnsi="黑体" w:eastAsia="仿宋_GB2312" w:cs="Times New Roman"/>
          <w:sz w:val="32"/>
          <w:szCs w:val="32"/>
        </w:rPr>
        <w:t>《广播电视网络安全事件应急预案》</w:t>
      </w:r>
    </w:p>
    <w:p w14:paraId="6485D731">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(6)</w:t>
      </w:r>
      <w:r>
        <w:rPr>
          <w:rFonts w:hint="eastAsia" w:ascii="仿宋_GB2312" w:hAnsi="黑体" w:eastAsia="仿宋_GB2312" w:cs="Times New Roman"/>
          <w:sz w:val="32"/>
          <w:szCs w:val="32"/>
        </w:rPr>
        <w:t>《国家应急广播体系总体方案》</w:t>
      </w:r>
    </w:p>
    <w:p w14:paraId="3BC04F73">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(7)</w:t>
      </w:r>
      <w:r>
        <w:rPr>
          <w:rFonts w:hint="eastAsia" w:ascii="仿宋_GB2312" w:hAnsi="黑体" w:eastAsia="仿宋_GB2312" w:cs="Times New Roman"/>
          <w:sz w:val="32"/>
          <w:szCs w:val="32"/>
        </w:rPr>
        <w:t>《应急广播系统总体技术规范》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GY/T383-2023</w:t>
      </w:r>
      <w:r>
        <w:rPr>
          <w:rFonts w:hint="eastAsia" w:ascii="仿宋_GB2312" w:hAnsi="黑体" w:eastAsia="仿宋_GB2312" w:cs="Times New Roman"/>
          <w:sz w:val="32"/>
          <w:szCs w:val="32"/>
          <w:lang w:eastAsia="zh-CN"/>
        </w:rPr>
        <w:t>）</w:t>
      </w:r>
    </w:p>
    <w:p w14:paraId="036B1D74">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(8)</w:t>
      </w:r>
      <w:r>
        <w:rPr>
          <w:rFonts w:hint="eastAsia" w:ascii="仿宋_GB2312" w:hAnsi="黑体" w:eastAsia="仿宋_GB2312" w:cs="Times New Roman"/>
          <w:sz w:val="32"/>
          <w:szCs w:val="32"/>
        </w:rPr>
        <w:t>《应急广播平台接口规范》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GY/T384-2023</w:t>
      </w:r>
      <w:r>
        <w:rPr>
          <w:rFonts w:hint="eastAsia" w:ascii="仿宋_GB2312" w:hAnsi="黑体" w:eastAsia="仿宋_GB2312" w:cs="Times New Roman"/>
          <w:sz w:val="32"/>
          <w:szCs w:val="32"/>
          <w:lang w:eastAsia="zh-CN"/>
        </w:rPr>
        <w:t>）</w:t>
      </w:r>
    </w:p>
    <w:p w14:paraId="6C63B9D2">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(9)</w:t>
      </w:r>
      <w:r>
        <w:rPr>
          <w:rFonts w:hint="eastAsia" w:ascii="仿宋_GB2312" w:hAnsi="黑体" w:eastAsia="仿宋_GB2312" w:cs="Times New Roman"/>
          <w:sz w:val="32"/>
          <w:szCs w:val="32"/>
        </w:rPr>
        <w:t>《应急广播消息格式规范》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GY/T385-2023</w:t>
      </w:r>
      <w:r>
        <w:rPr>
          <w:rFonts w:hint="eastAsia" w:ascii="仿宋_GB2312" w:hAnsi="黑体" w:eastAsia="仿宋_GB2312" w:cs="Times New Roman"/>
          <w:sz w:val="32"/>
          <w:szCs w:val="32"/>
          <w:lang w:eastAsia="zh-CN"/>
        </w:rPr>
        <w:t>）</w:t>
      </w:r>
    </w:p>
    <w:p w14:paraId="73D0FB10">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(10)</w:t>
      </w:r>
      <w:r>
        <w:rPr>
          <w:rFonts w:hint="eastAsia" w:ascii="仿宋_GB2312" w:hAnsi="黑体" w:eastAsia="仿宋_GB2312" w:cs="Times New Roman"/>
          <w:sz w:val="32"/>
          <w:szCs w:val="32"/>
        </w:rPr>
        <w:t>《应急广播系统资源分类及编码规范》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GY/T386-2023</w:t>
      </w:r>
      <w:r>
        <w:rPr>
          <w:rFonts w:hint="eastAsia" w:ascii="仿宋_GB2312" w:hAnsi="黑体" w:eastAsia="仿宋_GB2312" w:cs="Times New Roman"/>
          <w:sz w:val="32"/>
          <w:szCs w:val="32"/>
          <w:lang w:eastAsia="zh-CN"/>
        </w:rPr>
        <w:t>）</w:t>
      </w:r>
    </w:p>
    <w:p w14:paraId="7685CB08">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(11)</w:t>
      </w:r>
      <w:r>
        <w:rPr>
          <w:rFonts w:hint="eastAsia" w:ascii="仿宋_GB2312" w:hAnsi="黑体" w:eastAsia="仿宋_GB2312" w:cs="Times New Roman"/>
          <w:sz w:val="32"/>
          <w:szCs w:val="32"/>
        </w:rPr>
        <w:t>《县级应急广播系统技术规范》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GY/T387-2023</w:t>
      </w:r>
      <w:r>
        <w:rPr>
          <w:rFonts w:hint="eastAsia" w:ascii="仿宋_GB2312" w:hAnsi="黑体" w:eastAsia="仿宋_GB2312" w:cs="Times New Roman"/>
          <w:sz w:val="32"/>
          <w:szCs w:val="32"/>
          <w:lang w:eastAsia="zh-CN"/>
        </w:rPr>
        <w:t>）</w:t>
      </w:r>
    </w:p>
    <w:p w14:paraId="5FAC7017">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(12)</w:t>
      </w:r>
      <w:r>
        <w:rPr>
          <w:rFonts w:hint="eastAsia" w:ascii="仿宋_GB2312" w:hAnsi="黑体" w:eastAsia="仿宋_GB2312" w:cs="Times New Roman"/>
          <w:sz w:val="32"/>
          <w:szCs w:val="32"/>
        </w:rPr>
        <w:t>《应急广播系统密码应用技术规范》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GY/T388-2023</w:t>
      </w:r>
      <w:r>
        <w:rPr>
          <w:rFonts w:hint="eastAsia" w:ascii="仿宋_GB2312" w:hAnsi="黑体" w:eastAsia="仿宋_GB2312" w:cs="Times New Roman"/>
          <w:sz w:val="32"/>
          <w:szCs w:val="32"/>
          <w:lang w:eastAsia="zh-CN"/>
        </w:rPr>
        <w:t>）</w:t>
      </w:r>
    </w:p>
    <w:p w14:paraId="542BFBA6">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(13)</w:t>
      </w:r>
      <w:r>
        <w:rPr>
          <w:rFonts w:hint="eastAsia" w:ascii="仿宋_GB2312" w:hAnsi="黑体" w:eastAsia="仿宋_GB2312" w:cs="Times New Roman"/>
          <w:sz w:val="32"/>
          <w:szCs w:val="32"/>
        </w:rPr>
        <w:t>《应急广播系统数字签名技术规范》</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GY/T389-2023</w:t>
      </w:r>
      <w:r>
        <w:rPr>
          <w:rFonts w:hint="eastAsia" w:ascii="仿宋_GB2312" w:hAnsi="黑体" w:eastAsia="仿宋_GB2312" w:cs="Times New Roman"/>
          <w:sz w:val="32"/>
          <w:szCs w:val="32"/>
          <w:lang w:eastAsia="zh-CN"/>
        </w:rPr>
        <w:t>）</w:t>
      </w:r>
    </w:p>
    <w:p w14:paraId="31515A93">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(14)</w:t>
      </w:r>
      <w:r>
        <w:rPr>
          <w:rFonts w:hint="eastAsia" w:ascii="仿宋_GB2312" w:hAnsi="黑体" w:eastAsia="仿宋_GB2312" w:cs="Times New Roman"/>
          <w:sz w:val="32"/>
          <w:szCs w:val="32"/>
        </w:rPr>
        <w:t>《应急广播大喇叭系统技术要求和测量方法》</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GY/T394-2023</w:t>
      </w:r>
      <w:r>
        <w:rPr>
          <w:rFonts w:hint="eastAsia" w:ascii="仿宋_GB2312" w:hAnsi="黑体" w:eastAsia="仿宋_GB2312" w:cs="Times New Roman"/>
          <w:sz w:val="32"/>
          <w:szCs w:val="32"/>
          <w:lang w:eastAsia="zh-CN"/>
        </w:rPr>
        <w:t>）</w:t>
      </w:r>
    </w:p>
    <w:p w14:paraId="06567E84">
      <w:pPr>
        <w:spacing w:line="360" w:lineRule="auto"/>
        <w:ind w:firstLine="640" w:firstLineChars="200"/>
        <w:rPr>
          <w:rFonts w:hint="eastAsia" w:ascii="仿宋_GB2312" w:hAnsi="黑体" w:eastAsia="仿宋_GB2312" w:cs="Times New Roman"/>
          <w:sz w:val="32"/>
          <w:szCs w:val="32"/>
          <w:lang w:eastAsia="zh-CN"/>
        </w:rPr>
      </w:pPr>
      <w:r>
        <w:rPr>
          <w:rFonts w:hint="eastAsia" w:ascii="仿宋_GB2312" w:hAnsi="仿宋_GB2312" w:eastAsia="仿宋_GB2312" w:cs="仿宋_GB2312"/>
          <w:sz w:val="32"/>
          <w:lang w:val="en-US" w:eastAsia="zh-CN"/>
        </w:rPr>
        <w:t>(15)</w:t>
      </w:r>
      <w:r>
        <w:rPr>
          <w:rFonts w:hint="eastAsia" w:ascii="仿宋_GB2312" w:hAnsi="黑体" w:eastAsia="仿宋_GB2312" w:cs="Times New Roman"/>
          <w:sz w:val="32"/>
          <w:szCs w:val="32"/>
        </w:rPr>
        <w:t>《信息安全技术网络安全等级保护基本要求》</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GB/T22239-2019</w:t>
      </w:r>
      <w:r>
        <w:rPr>
          <w:rFonts w:hint="eastAsia" w:ascii="仿宋_GB2312" w:hAnsi="黑体" w:eastAsia="仿宋_GB2312" w:cs="Times New Roman"/>
          <w:sz w:val="32"/>
          <w:szCs w:val="32"/>
          <w:lang w:eastAsia="zh-CN"/>
        </w:rPr>
        <w:t>）</w:t>
      </w:r>
    </w:p>
    <w:p w14:paraId="6425A61A">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(16)</w:t>
      </w:r>
      <w:r>
        <w:rPr>
          <w:rFonts w:hint="eastAsia" w:ascii="仿宋_GB2312" w:hAnsi="黑体" w:eastAsia="仿宋_GB2312" w:cs="Times New Roman"/>
          <w:sz w:val="32"/>
          <w:szCs w:val="32"/>
        </w:rPr>
        <w:t>《信息安全技术网络安全等级保护定级指南》</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GB/T22240-2020</w:t>
      </w:r>
      <w:r>
        <w:rPr>
          <w:rFonts w:hint="eastAsia" w:ascii="仿宋_GB2312" w:hAnsi="黑体" w:eastAsia="仿宋_GB2312" w:cs="Times New Roman"/>
          <w:sz w:val="32"/>
          <w:szCs w:val="32"/>
          <w:lang w:eastAsia="zh-CN"/>
        </w:rPr>
        <w:t>）</w:t>
      </w:r>
    </w:p>
    <w:p w14:paraId="090F1FB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p>
    <w:p w14:paraId="7854327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2</w:t>
      </w:r>
      <w:r>
        <w:rPr>
          <w:rFonts w:hint="default" w:ascii="仿宋_GB2312" w:hAnsi="仿宋_GB2312" w:eastAsia="仿宋_GB2312" w:cs="仿宋_GB2312"/>
          <w:b/>
          <w:bCs/>
          <w:sz w:val="32"/>
          <w:lang w:val="en-US" w:eastAsia="zh-CN"/>
        </w:rPr>
        <w:t>.</w:t>
      </w:r>
      <w:r>
        <w:rPr>
          <w:rFonts w:hint="eastAsia" w:ascii="仿宋_GB2312" w:hAnsi="仿宋_GB2312" w:eastAsia="仿宋_GB2312" w:cs="仿宋_GB2312"/>
          <w:b/>
          <w:bCs/>
          <w:sz w:val="32"/>
          <w:lang w:val="en-US" w:eastAsia="zh-CN"/>
        </w:rPr>
        <w:t xml:space="preserve"> 专业知识</w:t>
      </w:r>
    </w:p>
    <w:p w14:paraId="57EBD8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.1</w:t>
      </w:r>
      <w:r>
        <w:rPr>
          <w:rFonts w:hint="eastAsia" w:ascii="仿宋_GB2312" w:hAnsi="仿宋_GB2312" w:eastAsia="仿宋_GB2312" w:cs="仿宋_GB2312"/>
          <w:sz w:val="32"/>
          <w:lang w:val="en-US" w:eastAsia="zh-CN"/>
        </w:rPr>
        <w:t xml:space="preserve"> </w:t>
      </w:r>
      <w:r>
        <w:rPr>
          <w:rFonts w:hint="eastAsia" w:ascii="仿宋_GB2312" w:hAnsi="黑体" w:eastAsia="仿宋_GB2312" w:cs="Times New Roman"/>
          <w:sz w:val="32"/>
          <w:szCs w:val="32"/>
        </w:rPr>
        <w:t>应急广播的基本概念</w:t>
      </w:r>
    </w:p>
    <w:p w14:paraId="7F9C14C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(1)应急广播相关概念、术语</w:t>
      </w:r>
    </w:p>
    <w:p w14:paraId="64B3486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(2)系统总体架构，重点是对“横向打通 纵向贯通 精准高效 安全可靠 ”原则和要求的理解</w:t>
      </w:r>
    </w:p>
    <w:p w14:paraId="6D0D70D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(3)对应急广播“222644”的理解和掌握</w:t>
      </w:r>
    </w:p>
    <w:p w14:paraId="226D3E1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(4)应急广播系统资源分类及编码</w:t>
      </w:r>
    </w:p>
    <w:p w14:paraId="4231A4E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(5)应急广播消息格式</w:t>
      </w:r>
    </w:p>
    <w:p w14:paraId="4CE8B58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(6)应急广播系统关键设备名称及功能</w:t>
      </w:r>
    </w:p>
    <w:p w14:paraId="62A6A3C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 xml:space="preserve"> </w:t>
      </w:r>
      <w:r>
        <w:rPr>
          <w:rFonts w:hint="eastAsia" w:ascii="仿宋_GB2312" w:hAnsi="黑体" w:eastAsia="仿宋_GB2312" w:cs="Times New Roman"/>
          <w:sz w:val="32"/>
          <w:szCs w:val="32"/>
        </w:rPr>
        <w:t>信息安全理论</w:t>
      </w:r>
    </w:p>
    <w:p w14:paraId="71560D3A">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黑体" w:eastAsia="仿宋_GB2312" w:cs="Times New Roman"/>
          <w:sz w:val="32"/>
          <w:szCs w:val="32"/>
        </w:rPr>
        <w:t>数字签名技术</w:t>
      </w:r>
    </w:p>
    <w:p w14:paraId="6E8DD6FD">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黑体" w:eastAsia="仿宋_GB2312" w:cs="Times New Roman"/>
          <w:sz w:val="32"/>
          <w:szCs w:val="32"/>
        </w:rPr>
        <w:t>密钥管理技术</w:t>
      </w:r>
    </w:p>
    <w:p w14:paraId="61503E4A">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黑体" w:eastAsia="仿宋_GB2312" w:cs="Times New Roman"/>
          <w:sz w:val="32"/>
          <w:szCs w:val="32"/>
        </w:rPr>
        <w:t>公钥基础设施</w:t>
      </w:r>
    </w:p>
    <w:p w14:paraId="2271503B">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(4)</w:t>
      </w:r>
      <w:r>
        <w:rPr>
          <w:rFonts w:hint="eastAsia" w:ascii="仿宋_GB2312" w:hAnsi="黑体" w:eastAsia="仿宋_GB2312" w:cs="Times New Roman"/>
          <w:sz w:val="32"/>
          <w:szCs w:val="32"/>
        </w:rPr>
        <w:t>防火墙与网闸的基本概念</w:t>
      </w:r>
    </w:p>
    <w:p w14:paraId="5755B536">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(5)</w:t>
      </w:r>
      <w:r>
        <w:rPr>
          <w:rFonts w:hint="eastAsia" w:ascii="仿宋_GB2312" w:hAnsi="黑体" w:eastAsia="仿宋_GB2312" w:cs="Times New Roman"/>
          <w:sz w:val="32"/>
          <w:szCs w:val="32"/>
        </w:rPr>
        <w:t>身份认证技术（USB Key，动态口令等）</w:t>
      </w:r>
    </w:p>
    <w:p w14:paraId="4D27E2C3">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(6)</w:t>
      </w:r>
      <w:r>
        <w:rPr>
          <w:rFonts w:hint="eastAsia" w:ascii="仿宋_GB2312" w:hAnsi="黑体" w:eastAsia="仿宋_GB2312" w:cs="Times New Roman"/>
          <w:sz w:val="32"/>
          <w:szCs w:val="32"/>
        </w:rPr>
        <w:t>基于角色的访问控制</w:t>
      </w:r>
    </w:p>
    <w:p w14:paraId="727A1499">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(7)</w:t>
      </w:r>
      <w:r>
        <w:rPr>
          <w:rFonts w:hint="eastAsia" w:ascii="仿宋_GB2312" w:hAnsi="黑体" w:eastAsia="仿宋_GB2312" w:cs="Times New Roman"/>
          <w:sz w:val="32"/>
          <w:szCs w:val="32"/>
        </w:rPr>
        <w:t>数据库安全措施</w:t>
      </w:r>
    </w:p>
    <w:p w14:paraId="083A59A9">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(8)</w:t>
      </w:r>
      <w:r>
        <w:rPr>
          <w:rFonts w:hint="eastAsia" w:ascii="仿宋_GB2312" w:hAnsi="黑体" w:eastAsia="仿宋_GB2312" w:cs="Times New Roman"/>
          <w:sz w:val="32"/>
          <w:szCs w:val="32"/>
        </w:rPr>
        <w:t>网络安全常见病毒、漏洞</w:t>
      </w:r>
    </w:p>
    <w:p w14:paraId="0A938DD6">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(9)</w:t>
      </w:r>
      <w:r>
        <w:rPr>
          <w:rFonts w:hint="eastAsia" w:ascii="仿宋_GB2312" w:hAnsi="黑体" w:eastAsia="仿宋_GB2312" w:cs="Times New Roman"/>
          <w:sz w:val="32"/>
          <w:szCs w:val="32"/>
        </w:rPr>
        <w:t>网络设备防范病毒和恶意程序相关技术</w:t>
      </w:r>
    </w:p>
    <w:p w14:paraId="25FEA021">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(10)</w:t>
      </w:r>
      <w:r>
        <w:rPr>
          <w:rFonts w:hint="eastAsia" w:ascii="仿宋_GB2312" w:hAnsi="黑体" w:eastAsia="仿宋_GB2312" w:cs="Times New Roman"/>
          <w:sz w:val="32"/>
          <w:szCs w:val="32"/>
        </w:rPr>
        <w:t>网络安全事件应急处置方法</w:t>
      </w:r>
    </w:p>
    <w:p w14:paraId="70E4D01B">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(11)</w:t>
      </w:r>
      <w:r>
        <w:rPr>
          <w:rFonts w:hint="eastAsia" w:ascii="仿宋_GB2312" w:hAnsi="黑体" w:eastAsia="仿宋_GB2312" w:cs="Times New Roman"/>
          <w:sz w:val="32"/>
          <w:szCs w:val="32"/>
        </w:rPr>
        <w:t>网络安全监测和态势感知技术</w:t>
      </w:r>
    </w:p>
    <w:p w14:paraId="228A976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.3</w:t>
      </w:r>
      <w:r>
        <w:rPr>
          <w:rFonts w:hint="eastAsia" w:ascii="仿宋_GB2312" w:hAnsi="仿宋_GB2312" w:eastAsia="仿宋_GB2312" w:cs="仿宋_GB2312"/>
          <w:sz w:val="32"/>
          <w:lang w:val="en-US" w:eastAsia="zh-CN"/>
        </w:rPr>
        <w:t xml:space="preserve"> </w:t>
      </w:r>
      <w:r>
        <w:rPr>
          <w:rFonts w:hint="eastAsia" w:ascii="仿宋_GB2312" w:hAnsi="黑体" w:eastAsia="仿宋_GB2312" w:cs="Times New Roman"/>
          <w:sz w:val="32"/>
          <w:szCs w:val="32"/>
        </w:rPr>
        <w:t>安全播出</w:t>
      </w:r>
    </w:p>
    <w:p w14:paraId="1EF7AA5E">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(1)《广播电视安全播出管理规定》及相关实施细则的要求</w:t>
      </w:r>
    </w:p>
    <w:p w14:paraId="0BB1B157">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(2)应急广播安全播出相关的其他要求</w:t>
      </w:r>
    </w:p>
    <w:p w14:paraId="47E713F1">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(3)应急广播信息接入和播发的相关要求</w:t>
      </w:r>
    </w:p>
    <w:p w14:paraId="4914731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p>
    <w:p w14:paraId="01D1C8E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3. 专业技能</w:t>
      </w:r>
    </w:p>
    <w:p w14:paraId="69DA38B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.1</w:t>
      </w:r>
      <w:r>
        <w:rPr>
          <w:rFonts w:hint="eastAsia" w:ascii="仿宋_GB2312" w:hAnsi="仿宋_GB2312" w:eastAsia="仿宋_GB2312" w:cs="仿宋_GB2312"/>
          <w:sz w:val="32"/>
          <w:lang w:val="en-US" w:eastAsia="zh-CN"/>
        </w:rPr>
        <w:t xml:space="preserve"> 应急广播信息播发</w:t>
      </w:r>
    </w:p>
    <w:p w14:paraId="01E05F34">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黑体" w:eastAsia="仿宋_GB2312" w:cs="Times New Roman"/>
          <w:sz w:val="32"/>
          <w:szCs w:val="32"/>
        </w:rPr>
        <w:t>接收应急信息及处理</w:t>
      </w:r>
    </w:p>
    <w:p w14:paraId="60DBEC65">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黑体" w:eastAsia="仿宋_GB2312" w:cs="Times New Roman"/>
          <w:sz w:val="32"/>
          <w:szCs w:val="32"/>
        </w:rPr>
        <w:t>播发任务创建与下发流程</w:t>
      </w:r>
    </w:p>
    <w:p w14:paraId="0B3B3C15">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黑体" w:eastAsia="仿宋_GB2312" w:cs="Times New Roman"/>
          <w:sz w:val="32"/>
          <w:szCs w:val="32"/>
        </w:rPr>
        <w:t xml:space="preserve">播发状态实时监控与反馈验证  </w:t>
      </w:r>
    </w:p>
    <w:p w14:paraId="0BA244C3">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(4)</w:t>
      </w:r>
      <w:r>
        <w:rPr>
          <w:rFonts w:hint="eastAsia" w:ascii="仿宋_GB2312" w:hAnsi="黑体" w:eastAsia="仿宋_GB2312" w:cs="Times New Roman"/>
          <w:sz w:val="32"/>
          <w:szCs w:val="32"/>
        </w:rPr>
        <w:t>异常播发中断的自动重试与人工干预策略</w:t>
      </w:r>
    </w:p>
    <w:p w14:paraId="02151806">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(5)</w:t>
      </w:r>
      <w:r>
        <w:rPr>
          <w:rFonts w:hint="eastAsia" w:ascii="仿宋_GB2312" w:hAnsi="黑体" w:eastAsia="仿宋_GB2312" w:cs="Times New Roman"/>
          <w:sz w:val="32"/>
          <w:szCs w:val="32"/>
        </w:rPr>
        <w:t>播发异常的原因分析</w:t>
      </w:r>
    </w:p>
    <w:p w14:paraId="29CC592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 xml:space="preserve"> 应急广播播发记录调取、溯源</w:t>
      </w:r>
    </w:p>
    <w:p w14:paraId="263D009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(1)应急广播播发历史记录的查询条件设置与检索调取方法</w:t>
      </w:r>
    </w:p>
    <w:p w14:paraId="347252D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(2)单条应急广播消息播发全链路流转节点的溯源流程</w:t>
      </w:r>
    </w:p>
    <w:p w14:paraId="18E1EE4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(3)播发任务发起、审核、下发、执行各环节操作记录的核实</w:t>
      </w:r>
    </w:p>
    <w:p w14:paraId="6E7FEC8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(4)终端接收与反馈响应记录的调取验证</w:t>
      </w:r>
    </w:p>
    <w:p w14:paraId="00DEB72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(5)异常播发行为的操作主体溯源定位</w:t>
      </w:r>
    </w:p>
    <w:p w14:paraId="363906E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.3</w:t>
      </w:r>
      <w:r>
        <w:rPr>
          <w:rFonts w:hint="eastAsia" w:ascii="仿宋_GB2312" w:hAnsi="仿宋_GB2312" w:eastAsia="仿宋_GB2312" w:cs="仿宋_GB2312"/>
          <w:sz w:val="32"/>
          <w:lang w:val="en-US" w:eastAsia="zh-CN"/>
        </w:rPr>
        <w:t xml:space="preserve"> 应急广播系统操作</w:t>
      </w:r>
    </w:p>
    <w:p w14:paraId="445A2F54">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黑体" w:eastAsia="仿宋_GB2312" w:cs="Times New Roman"/>
          <w:sz w:val="32"/>
          <w:szCs w:val="32"/>
        </w:rPr>
        <w:t>应急广播平台配置操作，主要包括添加/删除适配器和终端资源，设置系统账户和权限，配置数据上报时间和周期等</w:t>
      </w:r>
    </w:p>
    <w:p w14:paraId="7134706C">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黑体" w:eastAsia="仿宋_GB2312" w:cs="Times New Roman"/>
          <w:sz w:val="32"/>
          <w:szCs w:val="32"/>
        </w:rPr>
        <w:t>应急广播安全播出相关操作，主要包括夜间禁播等安全播出规则设置等</w:t>
      </w:r>
    </w:p>
    <w:p w14:paraId="67F522CF">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黑体" w:eastAsia="仿宋_GB2312" w:cs="Times New Roman"/>
          <w:sz w:val="32"/>
          <w:szCs w:val="32"/>
        </w:rPr>
        <w:t>应急广播数据同步和核查相关操作，主要包括手动/自动上报播发情况和资源状态等</w:t>
      </w:r>
    </w:p>
    <w:p w14:paraId="1A80781F">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(4)</w:t>
      </w:r>
      <w:r>
        <w:rPr>
          <w:rFonts w:hint="eastAsia" w:ascii="仿宋_GB2312" w:hAnsi="黑体" w:eastAsia="仿宋_GB2312" w:cs="Times New Roman"/>
          <w:sz w:val="32"/>
          <w:szCs w:val="32"/>
        </w:rPr>
        <w:t>应急广播终端的配置与操作</w:t>
      </w:r>
    </w:p>
    <w:p w14:paraId="46C94562">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(5)</w:t>
      </w:r>
      <w:r>
        <w:rPr>
          <w:rFonts w:hint="eastAsia" w:ascii="仿宋_GB2312" w:hAnsi="黑体" w:eastAsia="仿宋_GB2312" w:cs="Times New Roman"/>
          <w:sz w:val="32"/>
          <w:szCs w:val="32"/>
        </w:rPr>
        <w:t>应急广播适配器的配置与操作</w:t>
      </w:r>
    </w:p>
    <w:p w14:paraId="732ACF1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w:t>
      </w:r>
      <w:r>
        <w:rPr>
          <w:rFonts w:hint="eastAsia" w:ascii="仿宋_GB2312" w:hAnsi="仿宋_GB2312" w:eastAsia="仿宋_GB2312" w:cs="仿宋_GB2312"/>
          <w:sz w:val="32"/>
          <w:lang w:val="en-US" w:eastAsia="zh-CN"/>
        </w:rPr>
        <w:t>4 应急广播系统故障诊断</w:t>
      </w:r>
    </w:p>
    <w:p w14:paraId="292A8800">
      <w:pPr>
        <w:spacing w:line="360" w:lineRule="auto"/>
        <w:ind w:firstLine="640" w:firstLineChars="200"/>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w:t>
      </w:r>
      <w:r>
        <w:rPr>
          <w:rFonts w:hint="default" w:ascii="仿宋_GB2312" w:hAnsi="仿宋_GB2312" w:eastAsia="仿宋_GB2312" w:cs="仿宋_GB2312"/>
          <w:sz w:val="32"/>
          <w:lang w:val="en-US" w:eastAsia="zh-CN"/>
        </w:rPr>
        <w:t>应急广播平台应急信息接入故障诊断</w:t>
      </w:r>
    </w:p>
    <w:p w14:paraId="1FD994FB">
      <w:pPr>
        <w:spacing w:line="360" w:lineRule="auto"/>
        <w:ind w:firstLine="640" w:firstLineChars="200"/>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应急广播平台软件运行故障诊断及排除</w:t>
      </w:r>
    </w:p>
    <w:p w14:paraId="78A4B2C3">
      <w:pPr>
        <w:spacing w:line="360" w:lineRule="auto"/>
        <w:ind w:firstLine="640" w:firstLineChars="200"/>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应急广播核心硬件设备故障的诊断和排除</w:t>
      </w:r>
    </w:p>
    <w:p w14:paraId="3496413B">
      <w:pPr>
        <w:spacing w:line="360" w:lineRule="auto"/>
        <w:ind w:firstLine="640" w:firstLineChars="200"/>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w:t>
      </w:r>
      <w:r>
        <w:rPr>
          <w:rFonts w:hint="default" w:ascii="仿宋_GB2312" w:hAnsi="仿宋_GB2312" w:eastAsia="仿宋_GB2312" w:cs="仿宋_GB2312"/>
          <w:sz w:val="32"/>
          <w:lang w:val="en-US" w:eastAsia="zh-CN"/>
        </w:rPr>
        <w:t>应急广播接收终端故障诊断及排查</w:t>
      </w:r>
    </w:p>
    <w:p w14:paraId="58372B0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3.5网络安全防护</w:t>
      </w:r>
    </w:p>
    <w:p w14:paraId="4839BC89">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黑体" w:eastAsia="仿宋_GB2312" w:cs="Times New Roman"/>
          <w:sz w:val="32"/>
          <w:szCs w:val="32"/>
        </w:rPr>
        <w:t>应急广播的网络安全配置——白名单配置</w:t>
      </w:r>
    </w:p>
    <w:p w14:paraId="324EBE61">
      <w:pPr>
        <w:spacing w:line="360" w:lineRule="auto"/>
        <w:ind w:firstLine="640" w:firstLineChars="200"/>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黑体" w:eastAsia="仿宋_GB2312" w:cs="Times New Roman"/>
          <w:sz w:val="32"/>
          <w:szCs w:val="32"/>
        </w:rPr>
        <w:t>应急广播的网络传输配置——防火墙安全策略配</w:t>
      </w:r>
    </w:p>
    <w:p w14:paraId="6CBD1F8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黑体"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黑体" w:eastAsia="仿宋_GB2312" w:cs="Times New Roman"/>
          <w:sz w:val="32"/>
          <w:szCs w:val="32"/>
        </w:rPr>
        <w:t>高危网络端口禁用配置等</w:t>
      </w:r>
    </w:p>
    <w:p w14:paraId="403E778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黑体" w:eastAsia="仿宋_GB2312" w:cs="Times New Roman"/>
          <w:sz w:val="32"/>
          <w:szCs w:val="32"/>
        </w:rPr>
      </w:pPr>
    </w:p>
    <w:p w14:paraId="7CE7EB0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黑体" w:eastAsia="仿宋_GB2312" w:cs="Times New Roman"/>
          <w:sz w:val="32"/>
          <w:szCs w:val="32"/>
          <w:lang w:val="en-US" w:eastAsia="zh-CN"/>
        </w:rPr>
      </w:pPr>
    </w:p>
    <w:p w14:paraId="5C93BDA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黑体" w:eastAsia="仿宋_GB2312" w:cs="Times New Roman"/>
          <w:sz w:val="32"/>
          <w:szCs w:val="32"/>
          <w:lang w:val="en-US" w:eastAsia="zh-CN"/>
        </w:rPr>
      </w:pPr>
    </w:p>
    <w:p w14:paraId="09B3DED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黑体" w:eastAsia="仿宋_GB2312" w:cs="Times New Roman"/>
          <w:sz w:val="32"/>
          <w:szCs w:val="32"/>
          <w:lang w:val="en-US" w:eastAsia="zh-CN"/>
        </w:rPr>
      </w:pPr>
    </w:p>
    <w:p w14:paraId="04F0B40A">
      <w:pPr>
        <w:spacing w:line="660" w:lineRule="exact"/>
        <w:ind w:left="0" w:leftChars="0" w:firstLine="0" w:firstLineChars="0"/>
        <w:jc w:val="center"/>
        <w:rPr>
          <w:rFonts w:ascii="Times New Roman" w:hAnsi="Times New Roman" w:eastAsia="Times New Roman" w:cs="Times New Roman"/>
          <w:color w:val="auto"/>
          <w:spacing w:val="0"/>
          <w:position w:val="0"/>
          <w:sz w:val="24"/>
          <w:shd w:val="clear" w:color="auto" w:fill="auto"/>
        </w:rPr>
      </w:pPr>
      <w:r>
        <w:rPr>
          <w:rFonts w:hint="eastAsia" w:ascii="方正公文小标宋" w:hAnsi="方正公文小标宋" w:eastAsia="方正公文小标宋" w:cs="方正公文小标宋"/>
          <w:kern w:val="2"/>
          <w:sz w:val="36"/>
          <w:szCs w:val="28"/>
          <w:lang w:val="en-US" w:eastAsia="zh-CN" w:bidi="ar-SA"/>
        </w:rPr>
        <w:t>新型广电网络</w:t>
      </w:r>
      <w:r>
        <w:rPr>
          <w:rFonts w:hint="eastAsia" w:ascii="方正小标宋_GBK" w:hAnsi="方正小标宋_GBK" w:eastAsia="方正小标宋_GBK" w:cs="方正小标宋_GBK"/>
          <w:snapToGrid/>
          <w:color w:val="000000"/>
          <w:kern w:val="2"/>
          <w:sz w:val="36"/>
          <w:szCs w:val="28"/>
          <w:lang w:val="en-US" w:eastAsia="zh-CN" w:bidi="ar-SA"/>
        </w:rPr>
        <w:t>竞赛</w:t>
      </w:r>
      <w:r>
        <w:rPr>
          <w:rFonts w:hint="eastAsia" w:ascii="方正公文小标宋" w:hAnsi="方正公文小标宋" w:eastAsia="方正公文小标宋" w:cs="方正公文小标宋"/>
          <w:kern w:val="2"/>
          <w:sz w:val="36"/>
          <w:szCs w:val="28"/>
          <w:lang w:val="en-US" w:eastAsia="zh-CN" w:bidi="ar-SA"/>
        </w:rPr>
        <w:t>专业</w:t>
      </w:r>
    </w:p>
    <w:p w14:paraId="34BD5AA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default" w:ascii="国标楷体" w:hAnsi="国标楷体" w:eastAsia="国标楷体" w:cs="国标楷体"/>
          <w:b w:val="0"/>
          <w:bCs w:val="0"/>
          <w:kern w:val="2"/>
          <w:sz w:val="32"/>
          <w:szCs w:val="24"/>
          <w:lang w:val="en-US" w:eastAsia="zh-CN" w:bidi="ar-SA"/>
        </w:rPr>
        <w:t>说明：</w:t>
      </w:r>
      <w:r>
        <w:rPr>
          <w:rFonts w:hint="eastAsia" w:ascii="国标楷体" w:hAnsi="国标楷体" w:eastAsia="国标楷体" w:cs="国标楷体"/>
          <w:b w:val="0"/>
          <w:bCs w:val="0"/>
          <w:kern w:val="2"/>
          <w:sz w:val="32"/>
          <w:szCs w:val="24"/>
          <w:lang w:val="en-US" w:eastAsia="zh-CN" w:bidi="ar-SA"/>
        </w:rPr>
        <w:t xml:space="preserve">(1) </w:t>
      </w:r>
      <w:r>
        <w:rPr>
          <w:rFonts w:hint="default" w:ascii="国标楷体" w:hAnsi="国标楷体" w:eastAsia="国标楷体" w:cs="国标楷体"/>
          <w:b w:val="0"/>
          <w:bCs w:val="0"/>
          <w:kern w:val="2"/>
          <w:sz w:val="32"/>
          <w:szCs w:val="24"/>
          <w:lang w:val="en-US" w:eastAsia="zh-CN" w:bidi="ar-SA"/>
        </w:rPr>
        <w:t>本</w:t>
      </w:r>
      <w:r>
        <w:rPr>
          <w:rFonts w:hint="eastAsia" w:ascii="国标楷体" w:hAnsi="国标楷体" w:eastAsia="国标楷体" w:cs="国标楷体"/>
          <w:b w:val="0"/>
          <w:bCs w:val="0"/>
          <w:kern w:val="2"/>
          <w:sz w:val="32"/>
          <w:szCs w:val="24"/>
          <w:lang w:val="en-US" w:eastAsia="zh-CN" w:bidi="ar-SA"/>
        </w:rPr>
        <w:t>专业竞赛</w:t>
      </w:r>
      <w:r>
        <w:rPr>
          <w:rFonts w:hint="default" w:ascii="国标楷体" w:hAnsi="国标楷体" w:eastAsia="国标楷体" w:cs="国标楷体"/>
          <w:b w:val="0"/>
          <w:bCs w:val="0"/>
          <w:kern w:val="2"/>
          <w:sz w:val="32"/>
          <w:szCs w:val="24"/>
          <w:lang w:val="en-US" w:eastAsia="zh-CN" w:bidi="ar-SA"/>
        </w:rPr>
        <w:t>分</w:t>
      </w:r>
      <w:r>
        <w:rPr>
          <w:rFonts w:hint="eastAsia" w:ascii="国标楷体" w:hAnsi="国标楷体" w:eastAsia="国标楷体" w:cs="国标楷体"/>
          <w:b w:val="0"/>
          <w:bCs w:val="0"/>
          <w:kern w:val="2"/>
          <w:sz w:val="32"/>
          <w:szCs w:val="24"/>
          <w:lang w:val="en-US" w:eastAsia="zh-CN" w:bidi="ar-SA"/>
        </w:rPr>
        <w:t>理论</w:t>
      </w:r>
      <w:r>
        <w:rPr>
          <w:rFonts w:hint="default" w:ascii="国标楷体" w:hAnsi="国标楷体" w:eastAsia="国标楷体" w:cs="国标楷体"/>
          <w:b w:val="0"/>
          <w:bCs w:val="0"/>
          <w:kern w:val="2"/>
          <w:sz w:val="32"/>
          <w:szCs w:val="24"/>
          <w:lang w:val="en-US" w:eastAsia="zh-CN" w:bidi="ar-SA"/>
        </w:rPr>
        <w:t>和实操两大部分。</w:t>
      </w:r>
    </w:p>
    <w:p w14:paraId="666B587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(2) 理论</w:t>
      </w:r>
      <w:r>
        <w:rPr>
          <w:rFonts w:hint="default" w:ascii="国标楷体" w:hAnsi="国标楷体" w:eastAsia="国标楷体" w:cs="国标楷体"/>
          <w:b w:val="0"/>
          <w:bCs w:val="0"/>
          <w:kern w:val="2"/>
          <w:sz w:val="32"/>
          <w:szCs w:val="24"/>
          <w:lang w:val="en-US" w:eastAsia="zh-CN" w:bidi="ar-SA"/>
        </w:rPr>
        <w:t>部分包括基础考核和专业考核。基础考核对应大纲中的基础理论和专业知识；专业考核对应大纲中的专业技能。</w:t>
      </w:r>
    </w:p>
    <w:p w14:paraId="404A8BF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国标楷体" w:hAnsi="国标楷体" w:eastAsia="国标楷体" w:cs="国标楷体"/>
          <w:b w:val="0"/>
          <w:bCs w:val="0"/>
          <w:kern w:val="2"/>
          <w:sz w:val="32"/>
          <w:szCs w:val="24"/>
          <w:lang w:val="en-US" w:eastAsia="zh-CN" w:bidi="ar-SA"/>
        </w:rPr>
      </w:pPr>
      <w:r>
        <w:rPr>
          <w:rFonts w:hint="eastAsia" w:ascii="国标楷体" w:hAnsi="国标楷体" w:eastAsia="国标楷体" w:cs="国标楷体"/>
          <w:b w:val="0"/>
          <w:bCs w:val="0"/>
          <w:kern w:val="2"/>
          <w:sz w:val="32"/>
          <w:szCs w:val="24"/>
          <w:lang w:val="en-US" w:eastAsia="zh-CN" w:bidi="ar-SA"/>
        </w:rPr>
        <w:t>(3) 实操考核新型广电网络相关专业仪表与一线运维操作。</w:t>
      </w:r>
    </w:p>
    <w:p w14:paraId="5121E33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p>
    <w:p w14:paraId="4079733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lang w:val="en-US" w:eastAsia="zh-CN"/>
        </w:rPr>
      </w:pPr>
      <w:r>
        <w:rPr>
          <w:rFonts w:hint="default" w:ascii="仿宋_GB2312" w:hAnsi="仿宋_GB2312" w:eastAsia="仿宋_GB2312" w:cs="仿宋_GB2312"/>
          <w:b/>
          <w:bCs/>
          <w:sz w:val="32"/>
          <w:lang w:val="en-US" w:eastAsia="zh-CN"/>
        </w:rPr>
        <w:t>1. 基</w:t>
      </w:r>
      <w:r>
        <w:rPr>
          <w:rFonts w:hint="eastAsia" w:ascii="仿宋_GB2312" w:hAnsi="仿宋_GB2312" w:eastAsia="仿宋_GB2312" w:cs="仿宋_GB2312"/>
          <w:b/>
          <w:bCs/>
          <w:sz w:val="32"/>
          <w:lang w:val="en-US" w:eastAsia="zh-CN"/>
        </w:rPr>
        <w:t>础理论</w:t>
      </w:r>
    </w:p>
    <w:p w14:paraId="731AE5E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(1)《广播电视安全播出管理规定》（广电总局令第62号）</w:t>
      </w:r>
    </w:p>
    <w:p w14:paraId="5B04C45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(2)《广播电视安全播出管理规定》安全播出事故管理实施细则（试行）</w:t>
      </w:r>
    </w:p>
    <w:p w14:paraId="7029D3C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(3)《广播电视安全播出管理规定》有线广播电视网实施细则</w:t>
      </w:r>
    </w:p>
    <w:p w14:paraId="31C70AA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(4)《广播电视安全播出管理规定》供配电系统实施细则（试行）</w:t>
      </w:r>
    </w:p>
    <w:p w14:paraId="26806E7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(5)《中华人民共和国网络安全法》</w:t>
      </w:r>
    </w:p>
    <w:p w14:paraId="3406B28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(6)《广播电视网络安全管理办法》</w:t>
      </w:r>
    </w:p>
    <w:p w14:paraId="776A2B8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(7)《广播电视网络安全事件应急预案》</w:t>
      </w:r>
    </w:p>
    <w:p w14:paraId="53D26CC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(8)《有线电视网络升级改造技术实施指南（2020-2023年》</w:t>
      </w:r>
    </w:p>
    <w:p w14:paraId="3778673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(9)《智慧广电技术体系及实施指南》（2022版）</w:t>
      </w:r>
    </w:p>
    <w:p w14:paraId="74CDA80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(10)《有线电视广播系统技术规范》（GY/T 106-1999）</w:t>
      </w:r>
    </w:p>
    <w:p w14:paraId="6A9BC13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(11)《有线数字电视系统技术要求和测量方法》（GY/T 221-2006）</w:t>
      </w:r>
    </w:p>
    <w:p w14:paraId="00C1893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(12)《高清晰度有线数字电视机顶盒技术要求和测量方法》（GY/T 241-2009）</w:t>
      </w:r>
    </w:p>
    <w:p w14:paraId="0C03233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(13)《有线数字电视机顶盒技术要求和测量方法》（GY/T 240-2009）</w:t>
      </w:r>
    </w:p>
    <w:p w14:paraId="48CA5B2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(14)《有线电视网络光纤到户系统技术规范 第1部分：总体技术要求》（GY/T 306.1-2017）</w:t>
      </w:r>
    </w:p>
    <w:p w14:paraId="7AE907D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(15)《有线电视网络工程技术标准》（GB/T 50200-2018）</w:t>
      </w:r>
    </w:p>
    <w:p w14:paraId="449917B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(16)《信息安全技术 网络安全等级保护基本要求》（GB/T 22239-2019）</w:t>
      </w:r>
    </w:p>
    <w:p w14:paraId="7149FE8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(17)《信息安全技术 网络安全等级保护定级指南》（GB/T 22240-2020）</w:t>
      </w:r>
    </w:p>
    <w:p w14:paraId="3992B94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(18)《有线电视业务技术要求》（GY/T 380-2023）</w:t>
      </w:r>
    </w:p>
    <w:p w14:paraId="0DD889F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(19)《有线电视单向网关与4K超高清晰度插入式微型机顶盒的交互协议规范》（GY/T 410-2024）</w:t>
      </w:r>
    </w:p>
    <w:p w14:paraId="149828E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(20)《有线电视单向网关技术要求和测量方法》（GY/T 409-2024）</w:t>
      </w:r>
    </w:p>
    <w:p w14:paraId="3C0A47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(21)《4K超高清晰度机顶盒技术要求和测量方法（GYT 399-2024）》（GY/T 399-2024）</w:t>
      </w:r>
    </w:p>
    <w:p w14:paraId="4EE1E74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(22)《一体化电视专网电视业务应用技术要求和测量方法》（GY/T 428—2026）</w:t>
      </w:r>
    </w:p>
    <w:p w14:paraId="25DE6FA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(23)《有线电视监测工程建设技术标准》（GY/T5095-2022）</w:t>
      </w:r>
    </w:p>
    <w:p w14:paraId="0657F75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(24)《有线数字电视音视频技术质量要求和测量方法》（GY/T 375—2023）</w:t>
      </w:r>
    </w:p>
    <w:p w14:paraId="033DD3C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p>
    <w:p w14:paraId="1A804D2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2</w:t>
      </w:r>
      <w:r>
        <w:rPr>
          <w:rFonts w:hint="default" w:ascii="仿宋_GB2312" w:hAnsi="仿宋_GB2312" w:eastAsia="仿宋_GB2312" w:cs="仿宋_GB2312"/>
          <w:b/>
          <w:bCs/>
          <w:sz w:val="32"/>
          <w:lang w:val="en-US" w:eastAsia="zh-CN"/>
        </w:rPr>
        <w:t>.</w:t>
      </w:r>
      <w:r>
        <w:rPr>
          <w:rFonts w:hint="eastAsia" w:ascii="仿宋_GB2312" w:hAnsi="仿宋_GB2312" w:eastAsia="仿宋_GB2312" w:cs="仿宋_GB2312"/>
          <w:b/>
          <w:bCs/>
          <w:sz w:val="32"/>
          <w:lang w:val="en-US" w:eastAsia="zh-CN"/>
        </w:rPr>
        <w:t xml:space="preserve"> 专业知识</w:t>
      </w:r>
    </w:p>
    <w:p w14:paraId="187BB39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.1</w:t>
      </w:r>
      <w:r>
        <w:rPr>
          <w:rFonts w:hint="eastAsia" w:ascii="仿宋_GB2312" w:hAnsi="仿宋_GB2312" w:eastAsia="仿宋_GB2312" w:cs="仿宋_GB2312"/>
          <w:sz w:val="32"/>
          <w:lang w:val="en-US" w:eastAsia="zh-CN"/>
        </w:rPr>
        <w:t xml:space="preserve"> </w:t>
      </w:r>
      <w:r>
        <w:rPr>
          <w:rFonts w:hint="eastAsia" w:ascii="仿宋_GB2312" w:hAnsi="黑体" w:eastAsia="仿宋_GB2312" w:cs="Times New Roman"/>
          <w:sz w:val="32"/>
          <w:szCs w:val="32"/>
        </w:rPr>
        <w:t>基本概念</w:t>
      </w:r>
    </w:p>
    <w:p w14:paraId="3A97124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(1)有线电视基础理论</w:t>
      </w:r>
    </w:p>
    <w:p w14:paraId="706BA3F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(2)数字电视基础理论</w:t>
      </w:r>
    </w:p>
    <w:p w14:paraId="76E5CBA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(3)光传输网络技术理论</w:t>
      </w:r>
    </w:p>
    <w:p w14:paraId="628C867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(4)无线、卫星传输基础理论</w:t>
      </w:r>
    </w:p>
    <w:p w14:paraId="4966DA6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(5)网络安全基础理论和知识</w:t>
      </w:r>
    </w:p>
    <w:p w14:paraId="7311DB9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(6)数据安全基础理论和知识</w:t>
      </w:r>
    </w:p>
    <w:p w14:paraId="79FA34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(7)计算机网络基础理论</w:t>
      </w:r>
    </w:p>
    <w:p w14:paraId="4E468F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(8)云计算、大数据、AI、5G、超高清、区块链等相关新技术</w:t>
      </w:r>
    </w:p>
    <w:p w14:paraId="7CC6CD1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(9)新型广电网络特征、功能、总体架构等相关内容</w:t>
      </w:r>
    </w:p>
    <w:p w14:paraId="4276B07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 xml:space="preserve"> 有线数字电视前端</w:t>
      </w:r>
    </w:p>
    <w:p w14:paraId="7393BD5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(1)数字电视前端的组成和主要设备</w:t>
      </w:r>
    </w:p>
    <w:p w14:paraId="2A74517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(2)QAM 调制器的功能和应用</w:t>
      </w:r>
    </w:p>
    <w:p w14:paraId="687F7AA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(3)MPEG-2 编码器的功能和应用</w:t>
      </w:r>
    </w:p>
    <w:p w14:paraId="65E85EA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(4)复用器的功能和应用</w:t>
      </w:r>
    </w:p>
    <w:p w14:paraId="3EC63C1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(5)加扰器的功能和应用</w:t>
      </w:r>
    </w:p>
    <w:p w14:paraId="362167D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(6)IPQAM 的功能和应用</w:t>
      </w:r>
    </w:p>
    <w:p w14:paraId="30A1C5F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(7)网管系统的功能和应用</w:t>
      </w:r>
    </w:p>
    <w:p w14:paraId="58F19AF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(8)业务与运营支撑系统（BOSS）的功能和应用</w:t>
      </w:r>
    </w:p>
    <w:p w14:paraId="7665A57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(9)监控系统的功能和应用</w:t>
      </w:r>
    </w:p>
    <w:p w14:paraId="0FAF229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(10)条件接收系统的功能和应用</w:t>
      </w:r>
    </w:p>
    <w:p w14:paraId="0010729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(11)电子节目指南系统的功能和应用</w:t>
      </w:r>
    </w:p>
    <w:p w14:paraId="110BE83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(12)数据广播系统的功能和应用</w:t>
      </w:r>
    </w:p>
    <w:p w14:paraId="6FADF10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(13)视频点播系统的功能和应用</w:t>
      </w:r>
    </w:p>
    <w:p w14:paraId="47844A9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(14)IPTV、宽带电视的基本概念及其相关技术</w:t>
      </w:r>
    </w:p>
    <w:p w14:paraId="4DBC02E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.3</w:t>
      </w:r>
      <w:r>
        <w:rPr>
          <w:rFonts w:hint="eastAsia" w:ascii="仿宋_GB2312" w:hAnsi="仿宋_GB2312" w:eastAsia="仿宋_GB2312" w:cs="仿宋_GB2312"/>
          <w:sz w:val="32"/>
          <w:lang w:val="en-US" w:eastAsia="zh-CN"/>
        </w:rPr>
        <w:t xml:space="preserve"> 网络技术</w:t>
      </w:r>
    </w:p>
    <w:p w14:paraId="50F745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w:t>
      </w:r>
      <w:r>
        <w:rPr>
          <w:rFonts w:hint="default" w:ascii="仿宋_GB2312" w:hAnsi="仿宋_GB2312" w:eastAsia="仿宋_GB2312" w:cs="仿宋_GB2312"/>
          <w:sz w:val="32"/>
          <w:lang w:val="en-US" w:eastAsia="zh-CN"/>
        </w:rPr>
        <w:t>骨干网/城域网关键技术</w:t>
      </w:r>
      <w:r>
        <w:rPr>
          <w:rFonts w:hint="eastAsia" w:ascii="仿宋_GB2312" w:hAnsi="仿宋_GB2312" w:eastAsia="仿宋_GB2312" w:cs="仿宋_GB2312"/>
          <w:sz w:val="32"/>
          <w:lang w:val="en-US" w:eastAsia="zh-CN"/>
        </w:rPr>
        <w:t>：</w:t>
      </w:r>
      <w:r>
        <w:rPr>
          <w:rFonts w:hint="default" w:ascii="仿宋_GB2312" w:hAnsi="仿宋_GB2312" w:eastAsia="仿宋_GB2312" w:cs="仿宋_GB2312"/>
          <w:sz w:val="32"/>
          <w:lang w:val="en-US" w:eastAsia="zh-CN"/>
        </w:rPr>
        <w:t>SDH、MSTP、PTN、DWDM、OTN 等原理和应用</w:t>
      </w:r>
    </w:p>
    <w:p w14:paraId="41E9474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接入网技术</w:t>
      </w:r>
      <w:r>
        <w:rPr>
          <w:rFonts w:hint="eastAsia" w:ascii="仿宋_GB2312" w:hAnsi="仿宋_GB2312" w:eastAsia="仿宋_GB2312" w:cs="仿宋_GB2312"/>
          <w:sz w:val="32"/>
          <w:lang w:val="en-US" w:eastAsia="zh-CN"/>
        </w:rPr>
        <w:t>：</w:t>
      </w:r>
      <w:r>
        <w:rPr>
          <w:rFonts w:hint="default" w:ascii="仿宋_GB2312" w:hAnsi="仿宋_GB2312" w:eastAsia="仿宋_GB2312" w:cs="仿宋_GB2312"/>
          <w:sz w:val="32"/>
          <w:lang w:val="en-US" w:eastAsia="zh-CN"/>
        </w:rPr>
        <w:t>EPON/GPON 基本概念与工作原理</w:t>
      </w:r>
      <w:r>
        <w:rPr>
          <w:rFonts w:hint="eastAsia" w:ascii="仿宋_GB2312" w:hAnsi="仿宋_GB2312" w:eastAsia="仿宋_GB2312" w:cs="仿宋_GB2312"/>
          <w:sz w:val="32"/>
          <w:lang w:val="en-US" w:eastAsia="zh-CN"/>
        </w:rPr>
        <w:t>、</w:t>
      </w:r>
      <w:r>
        <w:rPr>
          <w:rFonts w:hint="default" w:ascii="仿宋_GB2312" w:hAnsi="仿宋_GB2312" w:eastAsia="仿宋_GB2312" w:cs="仿宋_GB2312"/>
          <w:sz w:val="32"/>
          <w:lang w:val="en-US" w:eastAsia="zh-CN"/>
        </w:rPr>
        <w:t>HFC 网络频谱划分、C-DOCSIS 技术、HINOC 技术、C-HPAV 技术</w:t>
      </w:r>
    </w:p>
    <w:p w14:paraId="55484FA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光缆线路工程</w:t>
      </w:r>
    </w:p>
    <w:p w14:paraId="473CCC7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4</w:t>
      </w:r>
      <w:r>
        <w:rPr>
          <w:rFonts w:hint="default" w:ascii="仿宋_GB2312" w:hAnsi="仿宋_GB2312" w:eastAsia="仿宋_GB2312" w:cs="仿宋_GB2312"/>
          <w:sz w:val="32"/>
          <w:lang w:val="en-US" w:eastAsia="zh-CN"/>
        </w:rPr>
        <w:t xml:space="preserve"> 终端技术</w:t>
      </w:r>
    </w:p>
    <w:p w14:paraId="0DC922F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w:t>
      </w:r>
      <w:r>
        <w:rPr>
          <w:rFonts w:hint="default" w:ascii="仿宋_GB2312" w:hAnsi="仿宋_GB2312" w:eastAsia="仿宋_GB2312" w:cs="仿宋_GB2312"/>
          <w:sz w:val="32"/>
          <w:lang w:val="en-US" w:eastAsia="zh-CN"/>
        </w:rPr>
        <w:t>一体化电视相关技术</w:t>
      </w:r>
    </w:p>
    <w:p w14:paraId="241E951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w:t>
      </w:r>
      <w:r>
        <w:rPr>
          <w:rFonts w:hint="default" w:ascii="仿宋_GB2312" w:hAnsi="仿宋_GB2312" w:eastAsia="仿宋_GB2312" w:cs="仿宋_GB2312"/>
          <w:sz w:val="32"/>
          <w:lang w:val="en-US" w:eastAsia="zh-CN"/>
        </w:rPr>
        <w:t>机顶盒相关技术，包括有线数字电视机顶盒、IP 机顶盒、插入式微型机顶盒及通用遥控器等</w:t>
      </w:r>
    </w:p>
    <w:p w14:paraId="188A60C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家庭网关相关技术</w:t>
      </w:r>
    </w:p>
    <w:p w14:paraId="70D9706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w:t>
      </w:r>
      <w:r>
        <w:rPr>
          <w:rFonts w:hint="default" w:ascii="仿宋_GB2312" w:hAnsi="仿宋_GB2312" w:eastAsia="仿宋_GB2312" w:cs="仿宋_GB2312"/>
          <w:sz w:val="32"/>
          <w:lang w:val="en-US" w:eastAsia="zh-CN"/>
        </w:rPr>
        <w:t>TVOS 的功能和特点</w:t>
      </w:r>
    </w:p>
    <w:p w14:paraId="033C632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5监测监管</w:t>
      </w:r>
    </w:p>
    <w:p w14:paraId="3DE1670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(1)“双治理”“双提升”工作的任务、内容及要求等</w:t>
      </w:r>
    </w:p>
    <w:p w14:paraId="553973E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(2)地面无线频率频道核查的任务、内容及要求等</w:t>
      </w:r>
    </w:p>
    <w:p w14:paraId="59613BA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(3)广播电视和互联网视听节目有害、违法违规、价值偏差等问题排查任务、内容及要求等</w:t>
      </w:r>
    </w:p>
    <w:p w14:paraId="03FB4AA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(4)违法违规广告监测的任务、内容及要求等</w:t>
      </w:r>
    </w:p>
    <w:p w14:paraId="736522A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(5)地面无线广播电视监测任务、监测内容、监测系统组成、监测数据指标等</w:t>
      </w:r>
    </w:p>
    <w:p w14:paraId="32E5656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(6)有线数字电视监测任务、监测内容、监测系统组成、监测数据指标等</w:t>
      </w:r>
    </w:p>
    <w:p w14:paraId="4339731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(7)卫星广播电视监测任务、监测内容、监测系统组成、监测数据指标等</w:t>
      </w:r>
    </w:p>
    <w:p w14:paraId="178F6EE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(8)IPTV监测任务、监测内容、监测系统组成、监测数据指标等</w:t>
      </w:r>
    </w:p>
    <w:p w14:paraId="5298ADE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2.6安全技术</w:t>
      </w:r>
    </w:p>
    <w:p w14:paraId="0CF0A5F3">
      <w:pPr>
        <w:spacing w:line="360" w:lineRule="auto"/>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lang w:val="en-US" w:eastAsia="zh-CN"/>
        </w:rPr>
        <w:t>2</w:t>
      </w:r>
      <w:r>
        <w:rPr>
          <w:rFonts w:hint="eastAsia" w:ascii="仿宋_GB2312" w:hAnsi="Calibri" w:eastAsia="仿宋_GB2312" w:cs="Times New Roman"/>
          <w:sz w:val="32"/>
          <w:szCs w:val="32"/>
        </w:rPr>
        <w:t>.</w:t>
      </w:r>
      <w:r>
        <w:rPr>
          <w:rFonts w:hint="eastAsia" w:ascii="仿宋_GB2312" w:hAnsi="Calibri" w:eastAsia="仿宋_GB2312" w:cs="Times New Roman"/>
          <w:sz w:val="32"/>
          <w:szCs w:val="32"/>
          <w:lang w:val="en-US" w:eastAsia="zh-CN"/>
        </w:rPr>
        <w:t>6.</w:t>
      </w:r>
      <w:r>
        <w:rPr>
          <w:rFonts w:hint="eastAsia" w:ascii="仿宋_GB2312" w:hAnsi="Calibri" w:eastAsia="仿宋_GB2312" w:cs="Times New Roman"/>
          <w:sz w:val="32"/>
          <w:szCs w:val="32"/>
        </w:rPr>
        <w:t>1 有线电视网络安全播出要求</w:t>
      </w:r>
    </w:p>
    <w:p w14:paraId="2688F053">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Calibri" w:eastAsia="仿宋_GB2312" w:cs="Times New Roman"/>
          <w:sz w:val="32"/>
          <w:szCs w:val="32"/>
        </w:rPr>
        <w:t>技术系统配置</w:t>
      </w:r>
    </w:p>
    <w:p w14:paraId="470DD4DA">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Calibri" w:eastAsia="仿宋_GB2312" w:cs="Times New Roman"/>
          <w:sz w:val="32"/>
          <w:szCs w:val="32"/>
        </w:rPr>
        <w:t>运行维护</w:t>
      </w:r>
    </w:p>
    <w:p w14:paraId="3A288F48">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Calibri" w:eastAsia="仿宋_GB2312" w:cs="Times New Roman"/>
          <w:sz w:val="32"/>
          <w:szCs w:val="32"/>
        </w:rPr>
        <w:t>技术管理</w:t>
      </w:r>
    </w:p>
    <w:p w14:paraId="7CB2E558">
      <w:pPr>
        <w:spacing w:line="360" w:lineRule="auto"/>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2.6.2 网络安全技术</w:t>
      </w:r>
    </w:p>
    <w:p w14:paraId="4134D7FC">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(1)</w:t>
      </w:r>
      <w:r>
        <w:rPr>
          <w:rFonts w:hint="eastAsia" w:ascii="仿宋_GB2312" w:hAnsi="Calibri" w:eastAsia="仿宋_GB2312" w:cs="Times New Roman"/>
          <w:sz w:val="32"/>
          <w:szCs w:val="32"/>
        </w:rPr>
        <w:t>云安全防护技术</w:t>
      </w:r>
    </w:p>
    <w:p w14:paraId="1D9266AC">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(2)</w:t>
      </w:r>
      <w:r>
        <w:rPr>
          <w:rFonts w:hint="eastAsia" w:ascii="仿宋_GB2312" w:hAnsi="Calibri" w:eastAsia="仿宋_GB2312" w:cs="Times New Roman"/>
          <w:sz w:val="32"/>
          <w:szCs w:val="32"/>
        </w:rPr>
        <w:t>主机安全防护技术</w:t>
      </w:r>
    </w:p>
    <w:p w14:paraId="0C734CED">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(3)</w:t>
      </w:r>
      <w:r>
        <w:rPr>
          <w:rFonts w:hint="eastAsia" w:ascii="仿宋_GB2312" w:hAnsi="Calibri" w:eastAsia="仿宋_GB2312" w:cs="Times New Roman"/>
          <w:sz w:val="32"/>
          <w:szCs w:val="32"/>
        </w:rPr>
        <w:t>网络安全防护技术</w:t>
      </w:r>
    </w:p>
    <w:p w14:paraId="30D9CA92">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(4)</w:t>
      </w:r>
      <w:r>
        <w:rPr>
          <w:rFonts w:hint="eastAsia" w:ascii="仿宋_GB2312" w:hAnsi="Calibri" w:eastAsia="仿宋_GB2312" w:cs="Times New Roman"/>
          <w:sz w:val="32"/>
          <w:szCs w:val="32"/>
        </w:rPr>
        <w:t>数据库安全防护技术</w:t>
      </w:r>
    </w:p>
    <w:p w14:paraId="2EF93B53">
      <w:pPr>
        <w:spacing w:line="360" w:lineRule="auto"/>
        <w:ind w:firstLine="640" w:firstLineChars="200"/>
        <w:rPr>
          <w:rFonts w:hint="eastAsia" w:ascii="仿宋_GB2312" w:hAnsi="Calibri" w:eastAsia="仿宋_GB2312" w:cs="Times New Roman"/>
          <w:sz w:val="32"/>
          <w:szCs w:val="32"/>
        </w:rPr>
      </w:pPr>
      <w:r>
        <w:rPr>
          <w:rFonts w:hint="eastAsia" w:ascii="仿宋_GB2312" w:hAnsi="仿宋_GB2312" w:eastAsia="仿宋_GB2312" w:cs="仿宋_GB2312"/>
          <w:sz w:val="32"/>
          <w:lang w:val="en-US" w:eastAsia="zh-CN"/>
        </w:rPr>
        <w:t>(5)</w:t>
      </w:r>
      <w:r>
        <w:rPr>
          <w:rFonts w:hint="eastAsia" w:ascii="仿宋_GB2312" w:hAnsi="Calibri" w:eastAsia="仿宋_GB2312" w:cs="Times New Roman"/>
          <w:sz w:val="32"/>
          <w:szCs w:val="32"/>
        </w:rPr>
        <w:t>应用安全防护技术</w:t>
      </w:r>
    </w:p>
    <w:p w14:paraId="07E74A8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p>
    <w:p w14:paraId="310C6DF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3. 专业技能</w:t>
      </w:r>
    </w:p>
    <w:p w14:paraId="0E5E103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.1</w:t>
      </w:r>
      <w:r>
        <w:rPr>
          <w:rFonts w:hint="eastAsia" w:ascii="仿宋_GB2312" w:hAnsi="仿宋_GB2312" w:eastAsia="仿宋_GB2312" w:cs="仿宋_GB2312"/>
          <w:sz w:val="32"/>
          <w:lang w:val="en-US" w:eastAsia="zh-CN"/>
        </w:rPr>
        <w:t xml:space="preserve"> </w:t>
      </w:r>
      <w:r>
        <w:rPr>
          <w:rFonts w:hint="eastAsia" w:ascii="仿宋_GB2312" w:hAnsi="Calibri" w:eastAsia="仿宋_GB2312" w:cs="Times New Roman"/>
          <w:sz w:val="32"/>
          <w:szCs w:val="32"/>
        </w:rPr>
        <w:t>测量仪器的使用</w:t>
      </w:r>
    </w:p>
    <w:p w14:paraId="6677C6A4">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(1)频谱分析仪</w:t>
      </w:r>
    </w:p>
    <w:p w14:paraId="43D16508">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(2)有线电视分析仪</w:t>
      </w:r>
    </w:p>
    <w:p w14:paraId="28BD3EF2">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(3)网络分析仪</w:t>
      </w:r>
    </w:p>
    <w:p w14:paraId="2AD6AF88">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(4)数字场强仪</w:t>
      </w:r>
    </w:p>
    <w:p w14:paraId="59D5EDFF">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(5)光功率计</w:t>
      </w:r>
    </w:p>
    <w:p w14:paraId="72ABF268">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(6)光时域反射仪</w:t>
      </w:r>
    </w:p>
    <w:p w14:paraId="0BAF801A">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(7)光缆熔接机</w:t>
      </w:r>
    </w:p>
    <w:p w14:paraId="0D8E3766">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(8)码流分析仪</w:t>
      </w:r>
    </w:p>
    <w:p w14:paraId="6A04021C">
      <w:pPr>
        <w:spacing w:line="360" w:lineRule="auto"/>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(9)视音频分析仪</w:t>
      </w:r>
    </w:p>
    <w:p w14:paraId="23D9E30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.2</w:t>
      </w:r>
      <w:r>
        <w:rPr>
          <w:rFonts w:hint="eastAsia" w:ascii="仿宋_GB2312" w:hAnsi="仿宋_GB2312" w:eastAsia="仿宋_GB2312" w:cs="仿宋_GB2312"/>
          <w:sz w:val="32"/>
          <w:lang w:val="en-US" w:eastAsia="zh-CN"/>
        </w:rPr>
        <w:t xml:space="preserve"> 有线电视前端系统指标的测量</w:t>
      </w:r>
    </w:p>
    <w:p w14:paraId="2E806D5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(1)MER、误码率、数字信号电平</w:t>
      </w:r>
    </w:p>
    <w:p w14:paraId="0B7EB12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(2)光功率、光波长、光反射损耗、光纤损耗测量、光纤活动连接点位置测量</w:t>
      </w:r>
    </w:p>
    <w:p w14:paraId="63875F8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(3)码率、TS 流包头、PAT 结构、PMT 结构、PCR 抖动</w:t>
      </w:r>
    </w:p>
    <w:p w14:paraId="597F576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(4)ASI 信号的输出幅度、上升时间、下降时间、抖动</w:t>
      </w:r>
    </w:p>
    <w:p w14:paraId="2E0C945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(5)机顶盒的视频输出幅度、视频同步幅度、视频幅频特性、色度/亮度增益不等、视音频同步时间差、工作功耗等</w:t>
      </w:r>
    </w:p>
    <w:p w14:paraId="3D25CEA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.3</w:t>
      </w:r>
      <w:r>
        <w:rPr>
          <w:rFonts w:hint="eastAsia" w:ascii="仿宋_GB2312" w:hAnsi="仿宋_GB2312" w:eastAsia="仿宋_GB2312" w:cs="仿宋_GB2312"/>
          <w:sz w:val="32"/>
          <w:lang w:val="en-US" w:eastAsia="zh-CN"/>
        </w:rPr>
        <w:t xml:space="preserve"> 宽带网络指标的测量</w:t>
      </w:r>
    </w:p>
    <w:p w14:paraId="5EA37CB8">
      <w:pPr>
        <w:spacing w:line="360" w:lineRule="auto"/>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吞吐量、时延、时延抖动、丢包</w:t>
      </w:r>
    </w:p>
    <w:p w14:paraId="1E3AB1A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default" w:ascii="仿宋_GB2312" w:hAnsi="仿宋_GB2312" w:eastAsia="仿宋_GB2312" w:cs="仿宋_GB2312"/>
          <w:sz w:val="32"/>
          <w:lang w:val="en-US" w:eastAsia="zh-CN"/>
        </w:rPr>
        <w:t>.</w:t>
      </w:r>
      <w:r>
        <w:rPr>
          <w:rFonts w:hint="eastAsia" w:ascii="仿宋_GB2312" w:hAnsi="仿宋_GB2312" w:eastAsia="仿宋_GB2312" w:cs="仿宋_GB2312"/>
          <w:sz w:val="32"/>
          <w:lang w:val="en-US" w:eastAsia="zh-CN"/>
        </w:rPr>
        <w:t>4 插入式微型机顶盒全流程装维</w:t>
      </w:r>
    </w:p>
    <w:p w14:paraId="1E329BE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(1)常见品牌电视机设置开机默认进入HDMI信号源的方式</w:t>
      </w:r>
    </w:p>
    <w:p w14:paraId="7A24EABC">
      <w:pPr>
        <w:tabs>
          <w:tab w:val="left" w:pos="1330"/>
        </w:tabs>
        <w:wordWrap/>
        <w:spacing w:line="576" w:lineRule="exact"/>
        <w:ind w:firstLine="640" w:firstLineChars="200"/>
        <w:jc w:val="left"/>
      </w:pPr>
      <w:r>
        <w:rPr>
          <w:rFonts w:hint="eastAsia" w:ascii="仿宋_GB2312" w:hAnsi="仿宋_GB2312" w:eastAsia="仿宋_GB2312" w:cs="仿宋_GB2312"/>
          <w:sz w:val="32"/>
          <w:lang w:val="en-US" w:eastAsia="zh-CN"/>
        </w:rPr>
        <w:t>(2)通过“通用遥控”APP为通用遥控器下载对应电视机按键码，实现电视机、机顶盒的双控</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3C4D52-6786-436F-86E3-5669A6E4881E}"/>
  </w:font>
  <w:font w:name="黑体">
    <w:panose1 w:val="02010609060101010101"/>
    <w:charset w:val="86"/>
    <w:family w:val="auto"/>
    <w:pitch w:val="default"/>
    <w:sig w:usb0="800002BF" w:usb1="38CF7CFA" w:usb2="00000016" w:usb3="00000000" w:csb0="00040001" w:csb1="00000000"/>
    <w:embedRegular r:id="rId2" w:fontKey="{FBA5552D-3ECF-4496-9B91-BA58F3DE3A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747C8DC-36EE-4439-A979-48292B8371C9}"/>
  </w:font>
  <w:font w:name="仿宋_GB2312">
    <w:panose1 w:val="02010609030101010101"/>
    <w:charset w:val="86"/>
    <w:family w:val="modern"/>
    <w:pitch w:val="default"/>
    <w:sig w:usb0="00000001" w:usb1="080E0000" w:usb2="00000000" w:usb3="00000000" w:csb0="00040000" w:csb1="00000000"/>
    <w:embedRegular r:id="rId4" w:fontKey="{8E70EA63-235B-44A4-9EF4-6EA690CD539F}"/>
  </w:font>
  <w:font w:name="方正小标宋_GBK">
    <w:altName w:val="微软雅黑"/>
    <w:panose1 w:val="02000000000000000000"/>
    <w:charset w:val="86"/>
    <w:family w:val="auto"/>
    <w:pitch w:val="default"/>
    <w:sig w:usb0="00000000" w:usb1="00000000" w:usb2="00000000" w:usb3="00000000" w:csb0="00040000" w:csb1="00000000"/>
    <w:embedRegular r:id="rId5" w:fontKey="{B47F776F-2610-416F-9146-A309812EB07C}"/>
  </w:font>
  <w:font w:name="方正小标宋简体">
    <w:panose1 w:val="02010601030101010101"/>
    <w:charset w:val="86"/>
    <w:family w:val="auto"/>
    <w:pitch w:val="default"/>
    <w:sig w:usb0="00000001" w:usb1="080E0000" w:usb2="00000000" w:usb3="00000000" w:csb0="00040000" w:csb1="00000000"/>
  </w:font>
  <w:font w:name="国标黑体">
    <w:altName w:val="黑体"/>
    <w:panose1 w:val="02000500000000000000"/>
    <w:charset w:val="00"/>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7DF6CDC0">
    <w:panose1 w:val="02010609060101010101"/>
    <w:charset w:val="86"/>
    <w:family w:val="auto"/>
    <w:pitch w:val="default"/>
    <w:sig w:usb0="00000001"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embedRegular r:id="rId6" w:fontKey="{3C3C51DE-63CD-41E7-B731-421D3FFDE51F}"/>
  </w:font>
  <w:font w:name="国标楷体">
    <w:altName w:val="楷体_GB2312"/>
    <w:panose1 w:val="02000500000000000000"/>
    <w:charset w:val="00"/>
    <w:family w:val="auto"/>
    <w:pitch w:val="default"/>
    <w:sig w:usb0="00000000" w:usb1="00000000" w:usb2="00000000" w:usb3="00000000" w:csb0="00040000" w:csb1="00000000"/>
    <w:embedRegular r:id="rId7" w:fontKey="{3955CB30-BACF-41ED-B6A4-BB4CC8F94416}"/>
  </w:font>
  <w:font w:name="仿宋">
    <w:panose1 w:val="02010609060101010101"/>
    <w:charset w:val="86"/>
    <w:family w:val="auto"/>
    <w:pitch w:val="default"/>
    <w:sig w:usb0="800002BF" w:usb1="38CF7CFA" w:usb2="00000016" w:usb3="00000000" w:csb0="00040001" w:csb1="00000000"/>
    <w:embedRegular r:id="rId8" w:fontKey="{30564A13-362E-43F8-AFAB-0F7DC74932AF}"/>
  </w:font>
  <w:font w:name="方正仿宋_GBK">
    <w:altName w:val="微软雅黑"/>
    <w:panose1 w:val="02000000000000000000"/>
    <w:charset w:val="86"/>
    <w:family w:val="auto"/>
    <w:pitch w:val="default"/>
    <w:sig w:usb0="00000000" w:usb1="00000000" w:usb2="00000000" w:usb3="00000000" w:csb0="00040000" w:csb1="00000000"/>
    <w:embedRegular r:id="rId9" w:fontKey="{0580D748-1E52-4022-A422-AA739EC851F3}"/>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D6DC4">
    <w:pPr>
      <w:pStyle w:val="2"/>
      <w:jc w:val="right"/>
      <w:rPr>
        <w:rFonts w:hint="eastAsia" w:ascii="仿宋_GB2312" w:eastAsia="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BEFA91">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1BEFA91">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14:paraId="18B9AB5C">
    <w:pPr>
      <w:pStyle w:val="2"/>
      <w:rPr>
        <w:rFonts w:hint="eastAsia" w:ascii="宋体" w:hAnsi="宋体"/>
      </w:rPr>
    </w:pPr>
  </w:p>
  <w:p w14:paraId="18E10302">
    <w:pPr>
      <w:pStyle w:val="2"/>
      <w:rPr>
        <w:rFonts w:ascii="宋体" w:hAnsi="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E418F"/>
    <w:rsid w:val="0E405FEE"/>
    <w:rsid w:val="7E8E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2026-08-24T08:18:00Z</dcterms:created>
  <dc:creator>WPS_1773830160</dc:creator>
  <cp:lastModifiedBy>WPS_1773830160</cp:lastModifiedBy>
  <dcterms:modified xsi:type="dcterms:W3CDTF">2026-08-24T08:20:26Z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0D1FF9C70F2D489C830E186992766149_13</vt:lpwstr>
  </property>
  <property fmtid="{D5CDD505-2E9C-101B-9397-08002B2CF9AE}" pid="4" name="KSOTemplateDocerSaveRecord">
    <vt:lpwstr>eyJoZGlkIjoiYWY5ZDMxMzA4OGNkZmU1M2RlZDEwMDkyYWRlNGFjM2MiLCJ1c2VySWQiOiIxODEyNTc4OTQ3In0=</vt:lpwstr>
  </property>
</Properties>
</file>